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795" w:rsidRPr="00923B34" w:rsidRDefault="00134795" w:rsidP="0013479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923B34">
        <w:rPr>
          <w:rFonts w:ascii="Times New Roman" w:hAnsi="Times New Roman" w:cs="Times New Roman"/>
          <w:b/>
          <w:lang w:val="kk-KZ"/>
        </w:rPr>
        <w:t>ТЕХНИКАЛЫҚ ЕРЕКШЕЛІ</w:t>
      </w:r>
      <w:r>
        <w:rPr>
          <w:rFonts w:ascii="Times New Roman" w:hAnsi="Times New Roman" w:cs="Times New Roman"/>
          <w:b/>
          <w:lang w:val="kk-KZ"/>
        </w:rPr>
        <w:t>К</w:t>
      </w:r>
    </w:p>
    <w:p w:rsidR="00134795" w:rsidRPr="00923B34" w:rsidRDefault="00134795" w:rsidP="00134795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6379"/>
      </w:tblGrid>
      <w:tr w:rsidR="00134795" w:rsidRPr="00923B34" w:rsidTr="00087800">
        <w:tc>
          <w:tcPr>
            <w:tcW w:w="425" w:type="dxa"/>
          </w:tcPr>
          <w:p w:rsidR="00134795" w:rsidRPr="00923B34" w:rsidRDefault="00134795" w:rsidP="000878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3B3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134795" w:rsidRPr="00923B34" w:rsidRDefault="00134795" w:rsidP="000878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B34">
              <w:rPr>
                <w:rFonts w:ascii="Times New Roman" w:hAnsi="Times New Roman"/>
                <w:b/>
                <w:sz w:val="24"/>
                <w:szCs w:val="24"/>
              </w:rPr>
              <w:t>Бөлімі</w:t>
            </w:r>
            <w:proofErr w:type="spellEnd"/>
          </w:p>
        </w:tc>
        <w:tc>
          <w:tcPr>
            <w:tcW w:w="6379" w:type="dxa"/>
          </w:tcPr>
          <w:p w:rsidR="00134795" w:rsidRPr="00923B34" w:rsidRDefault="00134795" w:rsidP="000878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923B34">
              <w:rPr>
                <w:rFonts w:ascii="Times New Roman" w:hAnsi="Times New Roman"/>
                <w:b/>
                <w:sz w:val="24"/>
                <w:szCs w:val="24"/>
              </w:rPr>
              <w:t>Талаптар</w:t>
            </w:r>
            <w:proofErr w:type="spellEnd"/>
            <w:r w:rsidRPr="00923B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</w:t>
            </w:r>
          </w:p>
        </w:tc>
      </w:tr>
      <w:tr w:rsidR="00134795" w:rsidRPr="00923B34" w:rsidTr="00087800">
        <w:tc>
          <w:tcPr>
            <w:tcW w:w="425" w:type="dxa"/>
          </w:tcPr>
          <w:p w:rsidR="00134795" w:rsidRPr="00923B34" w:rsidRDefault="00134795" w:rsidP="00087800">
            <w:pPr>
              <w:rPr>
                <w:rFonts w:ascii="Times New Roman" w:hAnsi="Times New Roman"/>
                <w:sz w:val="24"/>
                <w:szCs w:val="24"/>
              </w:rPr>
            </w:pPr>
            <w:r w:rsidRPr="00923B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134795" w:rsidRPr="00923B34" w:rsidRDefault="00134795" w:rsidP="000878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Тауардың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6379" w:type="dxa"/>
          </w:tcPr>
          <w:p w:rsidR="00134795" w:rsidRPr="00923B34" w:rsidRDefault="00134795" w:rsidP="000878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Толқын ұзындығы бойынша SFP xx/yy модуль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дерінің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жинағы</w:t>
            </w:r>
            <w:bookmarkEnd w:id="0"/>
          </w:p>
        </w:tc>
      </w:tr>
      <w:tr w:rsidR="00134795" w:rsidRPr="00923B34" w:rsidTr="00087800">
        <w:tc>
          <w:tcPr>
            <w:tcW w:w="425" w:type="dxa"/>
          </w:tcPr>
          <w:p w:rsidR="00134795" w:rsidRPr="00923B34" w:rsidRDefault="00134795" w:rsidP="00087800">
            <w:pPr>
              <w:rPr>
                <w:rFonts w:ascii="Times New Roman" w:hAnsi="Times New Roman"/>
                <w:sz w:val="24"/>
                <w:szCs w:val="24"/>
              </w:rPr>
            </w:pPr>
            <w:r w:rsidRPr="00923B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134795" w:rsidRPr="00923B34" w:rsidRDefault="00134795" w:rsidP="00087800">
            <w:pPr>
              <w:rPr>
                <w:rFonts w:ascii="Times New Roman" w:hAnsi="Times New Roman"/>
                <w:sz w:val="24"/>
                <w:szCs w:val="24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</w:t>
            </w:r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стандарттардың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атауы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, ал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олар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болмаған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кезде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сатып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алынатын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тауарларға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арналған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мемлекетаралық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стандарттар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Халықаралық</w:t>
            </w:r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мемлекетаралық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стандарттар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болмаған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жағдайда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сатып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алуды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реттеуді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ескере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отырып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сатып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алынатын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тауарлардың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қажетті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функционалдық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техникалық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сапалық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және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пайдалану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сипаттамалары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көрсетіледі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134795" w:rsidRPr="00923B34" w:rsidRDefault="00134795" w:rsidP="0008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4795" w:rsidRPr="00923B34" w:rsidTr="00087800">
        <w:tc>
          <w:tcPr>
            <w:tcW w:w="425" w:type="dxa"/>
          </w:tcPr>
          <w:p w:rsidR="00134795" w:rsidRPr="00923B34" w:rsidRDefault="00134795" w:rsidP="00087800">
            <w:pPr>
              <w:rPr>
                <w:rFonts w:ascii="Times New Roman" w:hAnsi="Times New Roman"/>
                <w:sz w:val="24"/>
                <w:szCs w:val="24"/>
              </w:rPr>
            </w:pPr>
            <w:r w:rsidRPr="00923B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34795" w:rsidRPr="00923B34" w:rsidRDefault="00134795" w:rsidP="000878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Шыққан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жылы</w:t>
            </w:r>
            <w:proofErr w:type="spellEnd"/>
          </w:p>
        </w:tc>
        <w:tc>
          <w:tcPr>
            <w:tcW w:w="6379" w:type="dxa"/>
          </w:tcPr>
          <w:p w:rsidR="00134795" w:rsidRPr="00923B34" w:rsidRDefault="00134795" w:rsidP="0008780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  <w:r w:rsidRPr="00923B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  <w:lang w:val="en-US"/>
              </w:rPr>
              <w:t>жылдан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  <w:lang w:val="en-US"/>
              </w:rPr>
              <w:t>ерте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  <w:lang w:val="en-US"/>
              </w:rPr>
              <w:t>емес</w:t>
            </w:r>
            <w:proofErr w:type="spellEnd"/>
          </w:p>
        </w:tc>
      </w:tr>
      <w:tr w:rsidR="00134795" w:rsidRPr="00923B34" w:rsidTr="00087800">
        <w:tc>
          <w:tcPr>
            <w:tcW w:w="425" w:type="dxa"/>
          </w:tcPr>
          <w:p w:rsidR="00134795" w:rsidRPr="00923B34" w:rsidRDefault="00134795" w:rsidP="00087800">
            <w:pPr>
              <w:rPr>
                <w:rFonts w:ascii="Times New Roman" w:hAnsi="Times New Roman"/>
                <w:sz w:val="24"/>
                <w:szCs w:val="24"/>
              </w:rPr>
            </w:pPr>
            <w:r w:rsidRPr="00923B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134795" w:rsidRPr="00923B34" w:rsidRDefault="00134795" w:rsidP="000878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Кепілдік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мерзімі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23B3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айлар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134795" w:rsidRPr="00923B34" w:rsidRDefault="00134795" w:rsidP="00087800">
            <w:pPr>
              <w:rPr>
                <w:rFonts w:ascii="Times New Roman" w:hAnsi="Times New Roman"/>
                <w:sz w:val="24"/>
                <w:szCs w:val="24"/>
              </w:rPr>
            </w:pPr>
            <w:r w:rsidRPr="00923B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34795" w:rsidRPr="00134795" w:rsidTr="00087800">
        <w:tc>
          <w:tcPr>
            <w:tcW w:w="425" w:type="dxa"/>
          </w:tcPr>
          <w:p w:rsidR="00134795" w:rsidRPr="00923B34" w:rsidRDefault="00134795" w:rsidP="00087800">
            <w:pPr>
              <w:rPr>
                <w:rFonts w:ascii="Times New Roman" w:hAnsi="Times New Roman"/>
                <w:sz w:val="24"/>
                <w:szCs w:val="24"/>
              </w:rPr>
            </w:pPr>
            <w:r w:rsidRPr="00923B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134795" w:rsidRPr="00923B34" w:rsidRDefault="00134795" w:rsidP="000878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Сатып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алынатын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тауарлардың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қажетті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функционалдық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техникалық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сапалық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өнімділігі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басқа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сипаттамаларының</w:t>
            </w:r>
            <w:proofErr w:type="spellEnd"/>
            <w:r w:rsidRPr="00923B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23B34">
              <w:rPr>
                <w:rFonts w:ascii="Times New Roman" w:hAnsi="Times New Roman"/>
                <w:sz w:val="24"/>
                <w:szCs w:val="24"/>
              </w:rPr>
              <w:t>сипатталуы</w:t>
            </w:r>
            <w:proofErr w:type="spellEnd"/>
          </w:p>
        </w:tc>
        <w:tc>
          <w:tcPr>
            <w:tcW w:w="6379" w:type="dxa"/>
          </w:tcPr>
          <w:p w:rsidR="00134795" w:rsidRPr="00923B34" w:rsidRDefault="00134795" w:rsidP="00087800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Жиын әртүрлі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толқын ұзындықтары бойынша 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xx/yy типті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SFP модул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ьдерінен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тұрады.</w:t>
            </w:r>
          </w:p>
          <w:p w:rsidR="00134795" w:rsidRPr="00923B34" w:rsidRDefault="00134795" w:rsidP="00087800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SFP xx/yy модулі оптикалық сигналды жіберу үшін EQX бейне матрицасында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ғы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EQX-OP18-3G-F1 тақталарына орналастырылатын қос оптикалық таратқыш болып табылады. </w:t>
            </w:r>
          </w:p>
          <w:p w:rsidR="00134795" w:rsidRPr="00923B34" w:rsidRDefault="00134795" w:rsidP="00087800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4795" w:rsidRPr="00923B34" w:rsidRDefault="00134795" w:rsidP="00087800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Жинақ:</w:t>
            </w:r>
          </w:p>
          <w:p w:rsidR="00134795" w:rsidRPr="00923B34" w:rsidRDefault="00134795" w:rsidP="00087800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1350/1370 нм толқын ұзындығы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бойынша 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SFP xx/yy модулі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кемінде 1 дана;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34795" w:rsidRPr="00923B34" w:rsidRDefault="00134795" w:rsidP="00087800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) 1470/1490 нм толқын ұзындығы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SFP xx/yy модулі - кемінде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дана;</w:t>
            </w:r>
          </w:p>
          <w:p w:rsidR="00134795" w:rsidRPr="00923B34" w:rsidRDefault="00134795" w:rsidP="00087800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) 1510/1530 нм толқын ұзындығы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 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SFP xx/yy модулі - кемінде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дана;</w:t>
            </w:r>
          </w:p>
          <w:p w:rsidR="00134795" w:rsidRPr="00923B34" w:rsidRDefault="00134795" w:rsidP="00087800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) 1550/1570 нм толқын ұзындығы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SFP xx/yy модулі - кемінде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дана;</w:t>
            </w:r>
          </w:p>
          <w:p w:rsidR="00134795" w:rsidRPr="00923B34" w:rsidRDefault="00134795" w:rsidP="00087800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) 1590/1610 нм толқын ұзындығы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SFP xx/yy модулі - кемінде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дана.</w:t>
            </w:r>
          </w:p>
          <w:p w:rsidR="00134795" w:rsidRPr="00923B34" w:rsidRDefault="00134795" w:rsidP="00087800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4795" w:rsidRPr="00923B34" w:rsidRDefault="00134795" w:rsidP="00087800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Форма факторы: оптикалық сигнал жіберу модулі.</w:t>
            </w:r>
          </w:p>
          <w:p w:rsidR="00134795" w:rsidRPr="00923B34" w:rsidRDefault="00134795" w:rsidP="00087800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4795" w:rsidRPr="00923B34" w:rsidRDefault="00134795" w:rsidP="00087800">
            <w:pPr>
              <w:tabs>
                <w:tab w:val="left" w:pos="90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Жалпы кіріс параметрлері:</w:t>
            </w:r>
          </w:p>
          <w:p w:rsidR="00134795" w:rsidRPr="00923B34" w:rsidRDefault="00134795" w:rsidP="000878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Коннектор: LC/UPC.</w:t>
            </w:r>
          </w:p>
          <w:p w:rsidR="00134795" w:rsidRPr="00923B34" w:rsidRDefault="00134795" w:rsidP="00087800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Порттар саны: кемінде 2.</w:t>
            </w:r>
          </w:p>
          <w:p w:rsidR="00134795" w:rsidRPr="00923B34" w:rsidRDefault="00134795" w:rsidP="00087800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Максималды кіріс қуаты: стандартты, -1дБ аспайды.</w:t>
            </w:r>
          </w:p>
          <w:p w:rsidR="00134795" w:rsidRPr="00923B34" w:rsidRDefault="00134795" w:rsidP="00087800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Максималды кіріс қуаты: жоғары сезімталды, -7дБ аспайды.</w:t>
            </w:r>
          </w:p>
          <w:p w:rsidR="00134795" w:rsidRPr="00923B34" w:rsidRDefault="00134795" w:rsidP="00087800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Стандартты оптикалық сезімталдық: -20 дБм кем емес және -23 дБм артық емес.</w:t>
            </w:r>
          </w:p>
          <w:p w:rsidR="00134795" w:rsidRPr="00923B34" w:rsidRDefault="00134795" w:rsidP="00087800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Жоғары оптикалық сезімталдық: -28 дБм кем емес және -30 дБм артық емес.</w:t>
            </w:r>
          </w:p>
          <w:p w:rsidR="00134795" w:rsidRPr="00923B34" w:rsidRDefault="00134795" w:rsidP="00087800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Оптикалық сигналдың жылдамдық диапазоны: 3 Мб/с-тан 3 Гб/с-қа дейін.</w:t>
            </w:r>
          </w:p>
          <w:p w:rsidR="00134795" w:rsidRPr="00923B34" w:rsidRDefault="00134795" w:rsidP="00087800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Негізгі функциялары: электрлік сигнал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оптикалық бейне сигнал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ға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түрлендіру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оның берілуі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34795" w:rsidRPr="00923B34" w:rsidRDefault="00134795" w:rsidP="00087800">
            <w:pPr>
              <w:tabs>
                <w:tab w:val="left" w:pos="900"/>
              </w:tabs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Қолданылатын форматтар:</w:t>
            </w:r>
          </w:p>
          <w:p w:rsidR="00134795" w:rsidRPr="00923B34" w:rsidRDefault="00134795" w:rsidP="000878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SMPTE 259;</w:t>
            </w:r>
          </w:p>
          <w:p w:rsidR="00134795" w:rsidRPr="00923B34" w:rsidRDefault="00134795" w:rsidP="000878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SMPTE 292;</w:t>
            </w:r>
          </w:p>
          <w:p w:rsidR="00134795" w:rsidRPr="00923B34" w:rsidRDefault="00134795" w:rsidP="000878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SMPTE 424М;</w:t>
            </w:r>
          </w:p>
          <w:p w:rsidR="00134795" w:rsidRPr="00923B34" w:rsidRDefault="00134795" w:rsidP="000878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SMPTE 292-1.</w:t>
            </w:r>
          </w:p>
          <w:p w:rsidR="00134795" w:rsidRPr="00923B34" w:rsidRDefault="00134795" w:rsidP="000878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4795" w:rsidRPr="00923B34" w:rsidRDefault="00134795" w:rsidP="0008780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</w:t>
            </w:r>
            <w:r w:rsidRPr="00923B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олқын ұзындығы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ның</w:t>
            </w:r>
            <w:r w:rsidRPr="00923B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</w:t>
            </w:r>
            <w:r w:rsidRPr="00923B3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ұмыс диапазоны:</w:t>
            </w:r>
          </w:p>
          <w:p w:rsidR="00134795" w:rsidRPr="00923B34" w:rsidRDefault="00134795" w:rsidP="000878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) SFP xx/yy модулі үшін 1350/1370 нм толқын ұзындығы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– 1350-ден 1370 нм-ге дейін;</w:t>
            </w:r>
          </w:p>
          <w:p w:rsidR="00134795" w:rsidRPr="00923B34" w:rsidRDefault="00134795" w:rsidP="000878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) </w:t>
            </w:r>
            <w:r w:rsidRPr="00351113">
              <w:rPr>
                <w:rFonts w:ascii="Times New Roman" w:hAnsi="Times New Roman"/>
                <w:sz w:val="24"/>
                <w:szCs w:val="24"/>
                <w:lang w:val="kk-KZ"/>
              </w:rPr>
              <w:t>SFP x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x/yy модулі үшін 1470/1490 нм толқын ұзындығы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- 1470 нм-ден 1490 нм-ге дейін;</w:t>
            </w:r>
          </w:p>
          <w:p w:rsidR="00134795" w:rsidRPr="00923B34" w:rsidRDefault="00134795" w:rsidP="000878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) SFP xx/yy модулі үшін 1510/1530 нм толқын ұзындығы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- 1510 нм-ден 1530 нм-ге дейін;</w:t>
            </w:r>
          </w:p>
          <w:p w:rsidR="00134795" w:rsidRPr="00923B34" w:rsidRDefault="00134795" w:rsidP="000878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) SFP xx/yy модулі үшін 1550/1570 нм толқын ұзындығы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- 1550 нм-ден 1570 нм-ге дейін;</w:t>
            </w:r>
          </w:p>
          <w:p w:rsidR="00134795" w:rsidRPr="00923B34" w:rsidRDefault="00134795" w:rsidP="000878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) SFP xx/yy модулі үшін 1590/1610 нм толқын ұзындығы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бойынша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- 1590 нм-ден 1610 нм-ге дейін.</w:t>
            </w:r>
          </w:p>
          <w:p w:rsidR="00134795" w:rsidRPr="00923B34" w:rsidRDefault="00134795" w:rsidP="000878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4795" w:rsidRDefault="00134795" w:rsidP="000878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Evertz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-тен 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EQX-OP18-3G-F1 оптикалық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сигналдарына арналған қ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олданыстағы EQX матрица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сының 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шығыс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тақтасымен үйлесімділігі.</w:t>
            </w:r>
          </w:p>
          <w:p w:rsidR="00134795" w:rsidRDefault="00134795" w:rsidP="000878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4795" w:rsidRPr="00923B34" w:rsidRDefault="00134795" w:rsidP="000878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Қолданыстағы SFP қос оптикалық таратқыштарымен бірдей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болуы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34795" w:rsidRPr="00923B34" w:rsidRDefault="00134795" w:rsidP="000878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Evertz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-тен </w:t>
            </w:r>
            <w:r w:rsidRPr="00462C3F">
              <w:rPr>
                <w:rFonts w:ascii="Times New Roman" w:hAnsi="Times New Roman"/>
                <w:lang w:val="kk-KZ"/>
              </w:rPr>
              <w:t>SFP3T-35/37-2SFP3T-47/49-2, SFP3T-51/53-2, SFP3T-55/57-2, SFP3T-59/61-2</w:t>
            </w: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134795" w:rsidRPr="00923B34" w:rsidRDefault="00134795" w:rsidP="000878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4795" w:rsidRPr="00923B34" w:rsidRDefault="00134795" w:rsidP="00087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Пайдаланылған немесе қалпына келтірілген жабдықты жеткізуге жол берілмейді.</w:t>
            </w:r>
          </w:p>
          <w:p w:rsidR="00134795" w:rsidRPr="00923B34" w:rsidRDefault="00134795" w:rsidP="00087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Жабдықтың тұтастығы бұзылмауы керек. </w:t>
            </w:r>
          </w:p>
          <w:p w:rsidR="00134795" w:rsidRPr="00923B34" w:rsidRDefault="00134795" w:rsidP="00087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Жабдық қаптамада, тұтастығын бұзбай жеткізілуі керек.</w:t>
            </w:r>
          </w:p>
          <w:p w:rsidR="00134795" w:rsidRPr="00923B34" w:rsidRDefault="00134795" w:rsidP="000878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34795" w:rsidRPr="00923B34" w:rsidRDefault="00134795" w:rsidP="00087800">
            <w:pPr>
              <w:tabs>
                <w:tab w:val="left" w:pos="900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Аукцион шеңберінде Әлеуетті өнім беруші өндірушіден немесе оның ресми өкілінен (дилерден немесе дистрибьютордан) Әлеуетті өнім берушінің техникалық ерекшелігінде көрсетілген рұқсат хатын ұсынуы тиіс.</w:t>
            </w:r>
          </w:p>
          <w:p w:rsidR="00134795" w:rsidRPr="00923B34" w:rsidRDefault="00134795" w:rsidP="00087800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134795" w:rsidRPr="00923B34" w:rsidTr="00087800">
        <w:tc>
          <w:tcPr>
            <w:tcW w:w="425" w:type="dxa"/>
          </w:tcPr>
          <w:p w:rsidR="00134795" w:rsidRPr="00923B34" w:rsidRDefault="00134795" w:rsidP="000878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3261" w:type="dxa"/>
          </w:tcPr>
          <w:p w:rsidR="00134795" w:rsidRPr="00923B34" w:rsidRDefault="00134795" w:rsidP="0008780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23B34">
              <w:rPr>
                <w:rFonts w:ascii="Times New Roman" w:hAnsi="Times New Roman"/>
                <w:sz w:val="24"/>
                <w:szCs w:val="24"/>
                <w:lang w:val="kk-KZ"/>
              </w:rPr>
              <w:t>Байланысты қызметтер (қажет болған жағдайда көрсетіледі) (монтаждау, іске қосу, дайындау, тексеру және тауарларды сынау)</w:t>
            </w:r>
          </w:p>
        </w:tc>
        <w:tc>
          <w:tcPr>
            <w:tcW w:w="6379" w:type="dxa"/>
          </w:tcPr>
          <w:p w:rsidR="00134795" w:rsidRPr="00524F82" w:rsidRDefault="00134795" w:rsidP="0008780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4F82">
              <w:rPr>
                <w:rFonts w:ascii="Times New Roman" w:hAnsi="Times New Roman"/>
                <w:sz w:val="24"/>
                <w:szCs w:val="24"/>
                <w:lang w:val="kk-KZ"/>
              </w:rPr>
              <w:t>Соммаға жеткізілуі кіреді.</w:t>
            </w:r>
          </w:p>
          <w:p w:rsidR="00134795" w:rsidRPr="00923B34" w:rsidRDefault="00134795" w:rsidP="00087800">
            <w:pPr>
              <w:pStyle w:val="a3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134795" w:rsidRPr="00923B34" w:rsidTr="00087800">
        <w:tc>
          <w:tcPr>
            <w:tcW w:w="425" w:type="dxa"/>
          </w:tcPr>
          <w:p w:rsidR="00134795" w:rsidRPr="00923B34" w:rsidRDefault="00134795" w:rsidP="00087800">
            <w:pPr>
              <w:rPr>
                <w:rFonts w:ascii="Times New Roman" w:hAnsi="Times New Roman"/>
                <w:sz w:val="24"/>
                <w:szCs w:val="24"/>
              </w:rPr>
            </w:pPr>
            <w:r w:rsidRPr="00923B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134795" w:rsidRPr="00923B34" w:rsidRDefault="00134795" w:rsidP="0008780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Әлеуетті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өнім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берушіге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оны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жеңімпаз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деп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анықтаған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lastRenderedPageBreak/>
              <w:t>және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онымен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мемлекеттік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сатып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алу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туралы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шарт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жасасқан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жағдайда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қойылатын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талаптар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қажет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болған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жағдайда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көрсетіледі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>) (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Әлеуетті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өнім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берушіні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көрсетілген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мәліметтерді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көрсетпегені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ұсынбағаны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үшін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қабылдамауға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жол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2C3F">
              <w:rPr>
                <w:rFonts w:ascii="Times New Roman" w:hAnsi="Times New Roman"/>
                <w:sz w:val="24"/>
                <w:szCs w:val="24"/>
              </w:rPr>
              <w:t>берілмейді</w:t>
            </w:r>
            <w:proofErr w:type="spellEnd"/>
            <w:r w:rsidRPr="00462C3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134795" w:rsidRPr="00923B34" w:rsidRDefault="00134795" w:rsidP="000878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4795" w:rsidRPr="00923B34" w:rsidRDefault="00134795" w:rsidP="001347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4795" w:rsidRPr="00923B34" w:rsidRDefault="00134795" w:rsidP="00134795">
      <w:pPr>
        <w:rPr>
          <w:sz w:val="24"/>
          <w:szCs w:val="24"/>
        </w:rPr>
      </w:pPr>
    </w:p>
    <w:p w:rsidR="0046642C" w:rsidRDefault="0046642C"/>
    <w:sectPr w:rsidR="0046642C" w:rsidSect="00063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95"/>
    <w:rsid w:val="00134795"/>
    <w:rsid w:val="0046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7F128-879A-4381-924D-788B9B5E9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795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795"/>
    <w:pPr>
      <w:spacing w:after="0" w:line="240" w:lineRule="auto"/>
    </w:pPr>
    <w:rPr>
      <w:sz w:val="24"/>
      <w:szCs w:val="24"/>
      <w:lang w:val="ru-RU"/>
    </w:rPr>
  </w:style>
  <w:style w:type="table" w:styleId="a4">
    <w:name w:val="Table Grid"/>
    <w:basedOn w:val="a1"/>
    <w:uiPriority w:val="59"/>
    <w:rsid w:val="0013479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Aimdos Alisher N.</dc:creator>
  <cp:keywords/>
  <dc:description/>
  <cp:lastModifiedBy>Aimdos Alisher N.</cp:lastModifiedBy>
  <cp:revision>1</cp:revision>
  <dcterms:created xsi:type="dcterms:W3CDTF">2024-02-22T09:28:00Z</dcterms:created>
  <dcterms:modified xsi:type="dcterms:W3CDTF">2024-02-22T09:29:00Z</dcterms:modified>
</cp:coreProperties>
</file>