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CE" w:rsidRPr="008E461C" w:rsidRDefault="00375DCE" w:rsidP="00375DCE">
      <w:pPr>
        <w:tabs>
          <w:tab w:val="left" w:pos="2220"/>
        </w:tabs>
        <w:ind w:firstLine="2977"/>
        <w:rPr>
          <w:b/>
          <w:lang w:val="kk-KZ"/>
        </w:rPr>
      </w:pPr>
      <w:bookmarkStart w:id="0" w:name="_Hlk155253075"/>
      <w:bookmarkStart w:id="1" w:name="_Hlk154676322"/>
      <w:r>
        <w:rPr>
          <w:b/>
          <w:lang w:val="kk-KZ"/>
        </w:rPr>
        <w:t>Сатып алынатын тауарлардың</w:t>
      </w:r>
      <w:bookmarkEnd w:id="0"/>
    </w:p>
    <w:bookmarkEnd w:id="1"/>
    <w:p w:rsidR="00375DCE" w:rsidRDefault="00375DCE" w:rsidP="00375DCE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ТЕХНИКАЛЫҚ ЕРЕКШЕЛІГІ</w:t>
      </w:r>
    </w:p>
    <w:p w:rsidR="00375DCE" w:rsidRDefault="00375DCE" w:rsidP="00375DCE">
      <w:pPr>
        <w:jc w:val="center"/>
        <w:rPr>
          <w:b/>
          <w:lang w:val="kk-KZ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80"/>
      </w:tblGrid>
      <w:tr w:rsidR="00375DCE" w:rsidRPr="00F84A66" w:rsidTr="00204A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F84A6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b/>
                <w:sz w:val="22"/>
                <w:szCs w:val="22"/>
                <w:lang w:eastAsia="en-US"/>
              </w:rPr>
              <w:t>Бөлімі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b/>
                <w:sz w:val="22"/>
                <w:szCs w:val="22"/>
                <w:lang w:eastAsia="en-US"/>
              </w:rPr>
              <w:t>Талаптар</w:t>
            </w:r>
            <w:proofErr w:type="spellEnd"/>
          </w:p>
        </w:tc>
      </w:tr>
      <w:tr w:rsidR="00375DCE" w:rsidRPr="00F84A66" w:rsidTr="00204A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Таурадың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bookmarkStart w:id="2" w:name="_GoBack"/>
            <w:proofErr w:type="spellStart"/>
            <w:r w:rsidRPr="00A632D6">
              <w:rPr>
                <w:sz w:val="22"/>
                <w:szCs w:val="22"/>
                <w:lang w:eastAsia="en-US"/>
              </w:rPr>
              <w:t>Кеңсе</w:t>
            </w:r>
            <w:proofErr w:type="spellEnd"/>
            <w:r w:rsidRPr="00A632D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32D6">
              <w:rPr>
                <w:sz w:val="22"/>
                <w:szCs w:val="22"/>
                <w:lang w:eastAsia="en-US"/>
              </w:rPr>
              <w:t>тумбасы</w:t>
            </w:r>
            <w:bookmarkEnd w:id="2"/>
            <w:proofErr w:type="spellEnd"/>
          </w:p>
        </w:tc>
      </w:tr>
      <w:tr w:rsidR="00375DCE" w:rsidRPr="00F84A66" w:rsidTr="00204A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тауарларға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ал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олар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атауы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стандарттар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кезде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алуды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нормалау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ескеріле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отырып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талап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етілетін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пайдаланушылық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сипаттамалары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E" w:rsidRPr="00F84A66" w:rsidRDefault="00375DCE" w:rsidP="00204AC3">
            <w:pPr>
              <w:contextualSpacing/>
              <w:jc w:val="left"/>
              <w:rPr>
                <w:sz w:val="22"/>
                <w:szCs w:val="22"/>
                <w:lang w:val="kk-KZ" w:eastAsia="en-US"/>
              </w:rPr>
            </w:pPr>
          </w:p>
        </w:tc>
      </w:tr>
      <w:tr w:rsidR="00375DCE" w:rsidRPr="00F84A66" w:rsidTr="00204A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Шыққан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жылы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E" w:rsidRPr="00A632D6" w:rsidRDefault="00375DCE" w:rsidP="00204AC3">
            <w:pPr>
              <w:contextualSpacing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2023 жыл</w:t>
            </w:r>
          </w:p>
        </w:tc>
      </w:tr>
      <w:tr w:rsidR="00375DCE" w:rsidRPr="00F84A66" w:rsidTr="00204A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Кепілдік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айлар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12 ай</w:t>
            </w:r>
          </w:p>
        </w:tc>
      </w:tr>
      <w:tr w:rsidR="00375DCE" w:rsidRPr="00F84A66" w:rsidTr="00204AC3">
        <w:trPr>
          <w:trHeight w:val="3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қажетті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өнімділігі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басқа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да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сипаттамаларының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сипатталуы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Корпус материалы: ЛДСП кемінде 16 мм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Тумба ені: 360 мм кем емес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Тумба тереңдігі: кемінде 600 мм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Тумба биіктігі: кемінде 610 мм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Барлық бөлшектер ПВХ жиегімен қапталған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Жәшіктер саны: 3 данадан артық емес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Тұтқалар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ы</w:t>
            </w: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: қапсырма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Тірек түрі: дөңгелектер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Дөңгелектер саны: кемінде 4 дана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Құлып түрі: кілт (механикалық)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A632D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Жылжымалы жәшіктерге арналған бағыттауыштардың түрі: Роликті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375DCE" w:rsidRPr="00F84A66" w:rsidRDefault="00375DCE" w:rsidP="00204AC3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Түсі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н</w:t>
            </w: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Тапсырыс берушімен кел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ісу</w:t>
            </w:r>
            <w:r w:rsidRPr="00A632D6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</w:p>
        </w:tc>
      </w:tr>
      <w:tr w:rsidR="00375DCE" w:rsidRPr="00F84A66" w:rsidTr="00204AC3">
        <w:trPr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Байланысты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қажет</w:t>
            </w:r>
            <w:proofErr w:type="spellEnd"/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болған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>)</w:t>
            </w:r>
          </w:p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монтаждау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іске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қосу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дайындау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тауарларды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сынау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4A66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алын</w:t>
            </w:r>
            <w:proofErr w:type="spellEnd"/>
            <w:r>
              <w:rPr>
                <w:sz w:val="22"/>
                <w:szCs w:val="22"/>
                <w:lang w:val="kk-KZ" w:eastAsia="en-US"/>
              </w:rPr>
              <w:t>атын</w:t>
            </w:r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тауардың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құнына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келесі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ілеспе</w:t>
            </w:r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кіреді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тауарды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жеткізу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A66">
              <w:rPr>
                <w:sz w:val="22"/>
                <w:szCs w:val="22"/>
                <w:lang w:eastAsia="en-US"/>
              </w:rPr>
              <w:t>түсіру</w:t>
            </w:r>
            <w:proofErr w:type="spellEnd"/>
            <w:r w:rsidRPr="00F84A66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75DCE" w:rsidRPr="00F84A66" w:rsidTr="00204AC3">
        <w:trPr>
          <w:trHeight w:val="27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r w:rsidRPr="00F84A6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F80A42">
              <w:rPr>
                <w:sz w:val="22"/>
                <w:szCs w:val="22"/>
                <w:lang w:eastAsia="en-US"/>
              </w:rPr>
              <w:t>Әлеуетті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берушіге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оны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жеңімпаз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деп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анықтаған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онымен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алу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шарт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жасасқан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қойылатын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талаптар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болған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>) (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Әлеуетті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берушіні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мәліметтерді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көрсетпегені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немесе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ұсынбағаны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үшін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қабылдамауға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жол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A42">
              <w:rPr>
                <w:sz w:val="22"/>
                <w:szCs w:val="22"/>
                <w:lang w:eastAsia="en-US"/>
              </w:rPr>
              <w:t>берілмейді</w:t>
            </w:r>
            <w:proofErr w:type="spellEnd"/>
            <w:r w:rsidRPr="00F80A4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E" w:rsidRPr="00F84A66" w:rsidRDefault="00375DCE" w:rsidP="00204AC3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375DCE" w:rsidRDefault="00375DCE" w:rsidP="00375DCE"/>
    <w:p w:rsidR="00864A69" w:rsidRDefault="00864A69"/>
    <w:sectPr w:rsidR="008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CE"/>
    <w:rsid w:val="00375DCE"/>
    <w:rsid w:val="008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519E-8C69-48CA-8A49-F5430A2D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D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C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2024-02-27T03:00:00Z</dcterms:created>
  <dcterms:modified xsi:type="dcterms:W3CDTF">2024-02-27T03:00:00Z</dcterms:modified>
</cp:coreProperties>
</file>