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B8D" w:rsidRPr="000F6D38" w:rsidRDefault="00CC2B8D" w:rsidP="00CC2B8D">
      <w:pPr>
        <w:spacing w:after="0" w:line="240" w:lineRule="auto"/>
        <w:rPr>
          <w:rFonts w:ascii="Times New Roman" w:hAnsi="Times New Roman" w:cs="Times New Roman"/>
        </w:rPr>
      </w:pPr>
    </w:p>
    <w:p w:rsidR="00CC2B8D" w:rsidRPr="000F6D38" w:rsidRDefault="00CC2B8D" w:rsidP="00CC2B8D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 w:rsidRPr="000F6D38">
        <w:rPr>
          <w:rFonts w:ascii="Times New Roman" w:hAnsi="Times New Roman" w:cs="Times New Roman"/>
          <w:b/>
          <w:lang w:val="kk-KZ"/>
        </w:rPr>
        <w:t>ТЕХНИКАЛЫҚ ЕРЕКШЕЛІ</w:t>
      </w:r>
      <w:r>
        <w:rPr>
          <w:rFonts w:ascii="Times New Roman" w:hAnsi="Times New Roman" w:cs="Times New Roman"/>
          <w:b/>
          <w:lang w:val="kk-KZ"/>
        </w:rPr>
        <w:t>К</w:t>
      </w:r>
    </w:p>
    <w:p w:rsidR="00CC2B8D" w:rsidRPr="000F6D38" w:rsidRDefault="00CC2B8D" w:rsidP="00CC2B8D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2996"/>
        <w:gridCol w:w="5891"/>
      </w:tblGrid>
      <w:tr w:rsidR="00CC2B8D" w:rsidRPr="000F6D38" w:rsidTr="00087800">
        <w:tc>
          <w:tcPr>
            <w:tcW w:w="211" w:type="pct"/>
          </w:tcPr>
          <w:p w:rsidR="00CC2B8D" w:rsidRPr="000F6D38" w:rsidRDefault="00CC2B8D" w:rsidP="000878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6D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0" w:type="pct"/>
          </w:tcPr>
          <w:p w:rsidR="00CC2B8D" w:rsidRPr="000F6D38" w:rsidRDefault="00CC2B8D" w:rsidP="00087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6D38">
              <w:rPr>
                <w:rFonts w:ascii="Times New Roman" w:hAnsi="Times New Roman" w:cs="Times New Roman"/>
                <w:b/>
              </w:rPr>
              <w:t>Бөлімі</w:t>
            </w:r>
            <w:proofErr w:type="spellEnd"/>
          </w:p>
        </w:tc>
        <w:tc>
          <w:tcPr>
            <w:tcW w:w="3169" w:type="pct"/>
          </w:tcPr>
          <w:p w:rsidR="00CC2B8D" w:rsidRPr="000F6D38" w:rsidRDefault="00CC2B8D" w:rsidP="00087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0F6D38">
              <w:rPr>
                <w:rFonts w:ascii="Times New Roman" w:hAnsi="Times New Roman" w:cs="Times New Roman"/>
                <w:b/>
              </w:rPr>
              <w:t>Талаптар</w:t>
            </w:r>
            <w:proofErr w:type="spellEnd"/>
            <w:r w:rsidRPr="000F6D38">
              <w:rPr>
                <w:rFonts w:ascii="Times New Roman" w:hAnsi="Times New Roman" w:cs="Times New Roman"/>
                <w:b/>
                <w:lang w:val="kk-KZ"/>
              </w:rPr>
              <w:t>ы</w:t>
            </w:r>
          </w:p>
        </w:tc>
      </w:tr>
      <w:tr w:rsidR="00CC2B8D" w:rsidRPr="000F6D38" w:rsidTr="00087800">
        <w:tc>
          <w:tcPr>
            <w:tcW w:w="211" w:type="pct"/>
          </w:tcPr>
          <w:p w:rsidR="00CC2B8D" w:rsidRPr="000F6D38" w:rsidRDefault="00CC2B8D" w:rsidP="0008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D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pct"/>
          </w:tcPr>
          <w:p w:rsidR="00CC2B8D" w:rsidRPr="000F6D38" w:rsidRDefault="00CC2B8D" w:rsidP="000878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F6D38">
              <w:rPr>
                <w:rFonts w:ascii="Times New Roman" w:hAnsi="Times New Roman" w:cs="Times New Roman"/>
              </w:rPr>
              <w:t>Тауардың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3169" w:type="pct"/>
          </w:tcPr>
          <w:p w:rsidR="00CC2B8D" w:rsidRPr="00A53AF6" w:rsidRDefault="00CC2B8D" w:rsidP="000878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lang w:val="kk-KZ"/>
              </w:rPr>
              <w:t>Фреймге</w:t>
            </w:r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қуат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блогы</w:t>
            </w:r>
            <w:bookmarkEnd w:id="0"/>
          </w:p>
        </w:tc>
      </w:tr>
      <w:tr w:rsidR="00CC2B8D" w:rsidRPr="000F6D38" w:rsidTr="00087800">
        <w:tc>
          <w:tcPr>
            <w:tcW w:w="211" w:type="pct"/>
          </w:tcPr>
          <w:p w:rsidR="00CC2B8D" w:rsidRPr="000F6D38" w:rsidRDefault="00CC2B8D" w:rsidP="0008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D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pct"/>
          </w:tcPr>
          <w:p w:rsidR="00CC2B8D" w:rsidRPr="000F6D38" w:rsidRDefault="00CC2B8D" w:rsidP="0008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6D38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стандарттардың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, ал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олар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болмаған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тауарларға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мемлекетаралық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стандарттар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F6D38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және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мемлекетаралық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стандарттар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болмаған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алуды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реттеуді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ескере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6D38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қажетті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6D38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6D38">
              <w:rPr>
                <w:rFonts w:ascii="Times New Roman" w:hAnsi="Times New Roman" w:cs="Times New Roman"/>
              </w:rPr>
              <w:t>сапалық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және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пайдалану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сипаттамалары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көрсетіледі</w:t>
            </w:r>
            <w:proofErr w:type="spellEnd"/>
            <w:r w:rsidRPr="000F6D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9" w:type="pct"/>
          </w:tcPr>
          <w:p w:rsidR="00CC2B8D" w:rsidRPr="000F6D38" w:rsidRDefault="00CC2B8D" w:rsidP="000878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2B8D" w:rsidRPr="000F6D38" w:rsidTr="00087800">
        <w:tc>
          <w:tcPr>
            <w:tcW w:w="211" w:type="pct"/>
          </w:tcPr>
          <w:p w:rsidR="00CC2B8D" w:rsidRPr="000F6D38" w:rsidRDefault="00CC2B8D" w:rsidP="0008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D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pct"/>
          </w:tcPr>
          <w:p w:rsidR="00CC2B8D" w:rsidRPr="000F6D38" w:rsidRDefault="00CC2B8D" w:rsidP="0008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6D38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жылы</w:t>
            </w:r>
            <w:proofErr w:type="spellEnd"/>
          </w:p>
        </w:tc>
        <w:tc>
          <w:tcPr>
            <w:tcW w:w="3169" w:type="pct"/>
          </w:tcPr>
          <w:p w:rsidR="00CC2B8D" w:rsidRPr="000F6D38" w:rsidRDefault="00CC2B8D" w:rsidP="000878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F6D38">
              <w:rPr>
                <w:rFonts w:ascii="Times New Roman" w:hAnsi="Times New Roman" w:cs="Times New Roman"/>
                <w:lang w:val="en-US"/>
              </w:rPr>
              <w:t>202</w:t>
            </w:r>
            <w:r w:rsidRPr="000F6D38">
              <w:rPr>
                <w:rFonts w:ascii="Times New Roman" w:hAnsi="Times New Roman" w:cs="Times New Roman"/>
              </w:rPr>
              <w:t>3</w:t>
            </w:r>
            <w:r w:rsidRPr="000F6D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  <w:lang w:val="en-US"/>
              </w:rPr>
              <w:t>жылдан</w:t>
            </w:r>
            <w:proofErr w:type="spellEnd"/>
            <w:r w:rsidRPr="000F6D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  <w:lang w:val="en-US"/>
              </w:rPr>
              <w:t>ерте</w:t>
            </w:r>
            <w:proofErr w:type="spellEnd"/>
            <w:r w:rsidRPr="000F6D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  <w:lang w:val="en-US"/>
              </w:rPr>
              <w:t>емес</w:t>
            </w:r>
            <w:proofErr w:type="spellEnd"/>
          </w:p>
        </w:tc>
      </w:tr>
      <w:tr w:rsidR="00CC2B8D" w:rsidRPr="000F6D38" w:rsidTr="00087800">
        <w:tc>
          <w:tcPr>
            <w:tcW w:w="211" w:type="pct"/>
          </w:tcPr>
          <w:p w:rsidR="00CC2B8D" w:rsidRPr="000F6D38" w:rsidRDefault="00CC2B8D" w:rsidP="0008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D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pct"/>
          </w:tcPr>
          <w:p w:rsidR="00CC2B8D" w:rsidRPr="000F6D38" w:rsidRDefault="00CC2B8D" w:rsidP="0008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6D38">
              <w:rPr>
                <w:rFonts w:ascii="Times New Roman" w:hAnsi="Times New Roman" w:cs="Times New Roman"/>
              </w:rPr>
              <w:t>Кепілдік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мерзімі</w:t>
            </w:r>
            <w:proofErr w:type="spellEnd"/>
            <w:r w:rsidRPr="000F6D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6D38">
              <w:rPr>
                <w:rFonts w:ascii="Times New Roman" w:hAnsi="Times New Roman" w:cs="Times New Roman"/>
              </w:rPr>
              <w:t>(</w:t>
            </w:r>
            <w:proofErr w:type="spellStart"/>
            <w:r w:rsidRPr="000F6D38">
              <w:rPr>
                <w:rFonts w:ascii="Times New Roman" w:hAnsi="Times New Roman" w:cs="Times New Roman"/>
              </w:rPr>
              <w:t>айлар</w:t>
            </w:r>
            <w:proofErr w:type="spellEnd"/>
            <w:r w:rsidRPr="000F6D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69" w:type="pct"/>
          </w:tcPr>
          <w:p w:rsidR="00CC2B8D" w:rsidRPr="000F6D38" w:rsidRDefault="00CC2B8D" w:rsidP="000878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F6D38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CC2B8D" w:rsidRPr="00CC2B8D" w:rsidTr="00087800">
        <w:tc>
          <w:tcPr>
            <w:tcW w:w="211" w:type="pct"/>
          </w:tcPr>
          <w:p w:rsidR="00CC2B8D" w:rsidRPr="000F6D38" w:rsidRDefault="00CC2B8D" w:rsidP="0008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D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pct"/>
          </w:tcPr>
          <w:p w:rsidR="00CC2B8D" w:rsidRPr="000F6D38" w:rsidRDefault="00CC2B8D" w:rsidP="0008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6D38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қажетті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6D38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6D38">
              <w:rPr>
                <w:rFonts w:ascii="Times New Roman" w:hAnsi="Times New Roman" w:cs="Times New Roman"/>
              </w:rPr>
              <w:t>сапалық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6D38">
              <w:rPr>
                <w:rFonts w:ascii="Times New Roman" w:hAnsi="Times New Roman" w:cs="Times New Roman"/>
              </w:rPr>
              <w:t>өнімділігі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0F6D38">
              <w:rPr>
                <w:rFonts w:ascii="Times New Roman" w:hAnsi="Times New Roman" w:cs="Times New Roman"/>
              </w:rPr>
              <w:t>басқа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0F6D38">
              <w:rPr>
                <w:rFonts w:ascii="Times New Roman" w:hAnsi="Times New Roman" w:cs="Times New Roman"/>
              </w:rPr>
              <w:t>сипаттамаларының</w:t>
            </w:r>
            <w:proofErr w:type="spellEnd"/>
            <w:r w:rsidRPr="000F6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D38">
              <w:rPr>
                <w:rFonts w:ascii="Times New Roman" w:hAnsi="Times New Roman" w:cs="Times New Roman"/>
              </w:rPr>
              <w:t>сипатталуы</w:t>
            </w:r>
            <w:proofErr w:type="spellEnd"/>
          </w:p>
        </w:tc>
        <w:tc>
          <w:tcPr>
            <w:tcW w:w="3169" w:type="pct"/>
          </w:tcPr>
          <w:p w:rsidR="00CC2B8D" w:rsidRPr="000F6D38" w:rsidRDefault="00CC2B8D" w:rsidP="0008780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F6D38">
              <w:rPr>
                <w:rFonts w:ascii="Times New Roman" w:hAnsi="Times New Roman" w:cs="Times New Roman"/>
                <w:lang w:val="kk-KZ"/>
              </w:rPr>
              <w:t>E</w:t>
            </w:r>
            <w:r w:rsidRPr="000F6D38">
              <w:rPr>
                <w:rFonts w:ascii="Times New Roman" w:hAnsi="Times New Roman" w:cs="Times New Roman"/>
                <w:lang w:val="en-US"/>
              </w:rPr>
              <w:t>MX</w:t>
            </w:r>
            <w:r w:rsidRPr="000F6D38">
              <w:rPr>
                <w:rFonts w:ascii="Times New Roman" w:hAnsi="Times New Roman" w:cs="Times New Roman"/>
                <w:lang w:val="kk-KZ"/>
              </w:rPr>
              <w:t xml:space="preserve"> 6-FR себетінің </w:t>
            </w:r>
            <w:r>
              <w:rPr>
                <w:rFonts w:ascii="Times New Roman" w:hAnsi="Times New Roman" w:cs="Times New Roman"/>
                <w:lang w:val="kk-KZ"/>
              </w:rPr>
              <w:t>фрейміне</w:t>
            </w:r>
            <w:r w:rsidRPr="000F6D38">
              <w:rPr>
                <w:rFonts w:ascii="Times New Roman" w:hAnsi="Times New Roman" w:cs="Times New Roman"/>
                <w:lang w:val="kk-KZ"/>
              </w:rPr>
              <w:t xml:space="preserve"> ендіріл</w:t>
            </w:r>
            <w:r>
              <w:rPr>
                <w:rFonts w:ascii="Times New Roman" w:hAnsi="Times New Roman" w:cs="Times New Roman"/>
                <w:lang w:val="kk-KZ"/>
              </w:rPr>
              <w:t>етін</w:t>
            </w:r>
            <w:r w:rsidRPr="000F6D38">
              <w:rPr>
                <w:rFonts w:ascii="Times New Roman" w:hAnsi="Times New Roman" w:cs="Times New Roman"/>
                <w:lang w:val="kk-KZ"/>
              </w:rPr>
              <w:t xml:space="preserve"> модульдік қуат </w:t>
            </w:r>
            <w:r>
              <w:rPr>
                <w:rFonts w:ascii="Times New Roman" w:hAnsi="Times New Roman" w:cs="Times New Roman"/>
                <w:lang w:val="kk-KZ"/>
              </w:rPr>
              <w:t>блогы</w:t>
            </w:r>
          </w:p>
          <w:p w:rsidR="00CC2B8D" w:rsidRPr="000F6D38" w:rsidRDefault="00CC2B8D" w:rsidP="0008780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C2B8D" w:rsidRPr="00A53AF6" w:rsidRDefault="00CC2B8D" w:rsidP="0008780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53AF6">
              <w:rPr>
                <w:rFonts w:ascii="Times New Roman" w:hAnsi="Times New Roman" w:cs="Times New Roman"/>
                <w:b/>
                <w:lang w:val="kk-KZ"/>
              </w:rPr>
              <w:t>Негізгі сипаттамалары:</w:t>
            </w:r>
          </w:p>
          <w:p w:rsidR="00CC2B8D" w:rsidRPr="000F6D38" w:rsidRDefault="00CC2B8D" w:rsidP="0008780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F6D38">
              <w:rPr>
                <w:rFonts w:ascii="Times New Roman" w:hAnsi="Times New Roman" w:cs="Times New Roman"/>
                <w:lang w:val="kk-KZ"/>
              </w:rPr>
              <w:t>Кернеу: 100 В кем емес және 240 В айнымалы токтан артық емес;</w:t>
            </w:r>
          </w:p>
          <w:p w:rsidR="00CC2B8D" w:rsidRPr="000F6D38" w:rsidRDefault="00CC2B8D" w:rsidP="0008780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F6D38">
              <w:rPr>
                <w:rFonts w:ascii="Times New Roman" w:hAnsi="Times New Roman" w:cs="Times New Roman"/>
                <w:lang w:val="kk-KZ"/>
              </w:rPr>
              <w:t>Жиілігі: 50-ден кем емес және 60 Гц-тен артық емес;</w:t>
            </w:r>
          </w:p>
          <w:p w:rsidR="00CC2B8D" w:rsidRPr="000F6D38" w:rsidRDefault="00CC2B8D" w:rsidP="0008780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F6D38">
              <w:rPr>
                <w:rFonts w:ascii="Times New Roman" w:hAnsi="Times New Roman" w:cs="Times New Roman"/>
                <w:lang w:val="kk-KZ"/>
              </w:rPr>
              <w:t>Максималды тұтынылатын ток: 115 В</w:t>
            </w:r>
            <w:r>
              <w:rPr>
                <w:rFonts w:ascii="Times New Roman" w:hAnsi="Times New Roman" w:cs="Times New Roman"/>
                <w:lang w:val="kk-KZ"/>
              </w:rPr>
              <w:t xml:space="preserve">-тан аспайтын </w:t>
            </w:r>
            <w:r w:rsidRPr="000F6D38">
              <w:rPr>
                <w:rFonts w:ascii="Times New Roman" w:hAnsi="Times New Roman" w:cs="Times New Roman"/>
                <w:lang w:val="kk-KZ"/>
              </w:rPr>
              <w:t>кернеу</w:t>
            </w:r>
            <w:r>
              <w:rPr>
                <w:rFonts w:ascii="Times New Roman" w:hAnsi="Times New Roman" w:cs="Times New Roman"/>
                <w:lang w:val="kk-KZ"/>
              </w:rPr>
              <w:t xml:space="preserve"> кезінде</w:t>
            </w:r>
            <w:r w:rsidRPr="000F6D38">
              <w:rPr>
                <w:rFonts w:ascii="Times New Roman" w:hAnsi="Times New Roman" w:cs="Times New Roman"/>
                <w:lang w:val="kk-KZ"/>
              </w:rPr>
              <w:t xml:space="preserve"> 9.5 А-дан аспай</w:t>
            </w:r>
            <w:r>
              <w:rPr>
                <w:rFonts w:ascii="Times New Roman" w:hAnsi="Times New Roman" w:cs="Times New Roman"/>
                <w:lang w:val="kk-KZ"/>
              </w:rPr>
              <w:t>ды</w:t>
            </w:r>
            <w:r w:rsidRPr="000F6D38">
              <w:rPr>
                <w:rFonts w:ascii="Times New Roman" w:hAnsi="Times New Roman" w:cs="Times New Roman"/>
                <w:lang w:val="kk-KZ"/>
              </w:rPr>
              <w:t>, 220 В-тан аспайтын кернеу</w:t>
            </w:r>
            <w:r>
              <w:rPr>
                <w:rFonts w:ascii="Times New Roman" w:hAnsi="Times New Roman" w:cs="Times New Roman"/>
                <w:lang w:val="kk-KZ"/>
              </w:rPr>
              <w:t xml:space="preserve"> кезінде</w:t>
            </w:r>
            <w:r w:rsidRPr="000F6D38">
              <w:rPr>
                <w:rFonts w:ascii="Times New Roman" w:hAnsi="Times New Roman" w:cs="Times New Roman"/>
                <w:lang w:val="kk-KZ"/>
              </w:rPr>
              <w:t xml:space="preserve"> 4 А-дан аспайтын;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C2B8D" w:rsidRPr="000F6D38" w:rsidRDefault="00CC2B8D" w:rsidP="0008780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F6D38">
              <w:rPr>
                <w:rFonts w:ascii="Times New Roman" w:hAnsi="Times New Roman" w:cs="Times New Roman"/>
                <w:lang w:val="kk-KZ"/>
              </w:rPr>
              <w:t>Максималды тұтыну қуат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0F6D38">
              <w:rPr>
                <w:rFonts w:ascii="Times New Roman" w:hAnsi="Times New Roman" w:cs="Times New Roman"/>
                <w:lang w:val="kk-KZ"/>
              </w:rPr>
              <w:t>: 850 Вт-тан аспайды;</w:t>
            </w:r>
          </w:p>
          <w:p w:rsidR="00CC2B8D" w:rsidRPr="000F6D38" w:rsidRDefault="00CC2B8D" w:rsidP="0008780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F6D38">
              <w:rPr>
                <w:rFonts w:ascii="Times New Roman" w:hAnsi="Times New Roman" w:cs="Times New Roman"/>
                <w:lang w:val="kk-KZ"/>
              </w:rPr>
              <w:t>Модульдің максималды жүктемесі 650 Вт аспайды;</w:t>
            </w:r>
          </w:p>
          <w:p w:rsidR="00CC2B8D" w:rsidRPr="000F6D38" w:rsidRDefault="00CC2B8D" w:rsidP="0008780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Коннектор</w:t>
            </w:r>
            <w:r w:rsidRPr="000F6D38">
              <w:rPr>
                <w:rFonts w:ascii="Times New Roman" w:hAnsi="Times New Roman" w:cs="Times New Roman"/>
                <w:lang w:val="kk-KZ"/>
              </w:rPr>
              <w:t>: IEC 60320 C15/C16;</w:t>
            </w:r>
          </w:p>
          <w:p w:rsidR="00CC2B8D" w:rsidRPr="000F6D38" w:rsidRDefault="00CC2B8D" w:rsidP="0008780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F6D38">
              <w:rPr>
                <w:rFonts w:ascii="Times New Roman" w:hAnsi="Times New Roman" w:cs="Times New Roman"/>
                <w:lang w:val="kk-KZ"/>
              </w:rPr>
              <w:t>Жұмыс температурасы: 0°C-тан кем емес және 40°C-тан аспайды.</w:t>
            </w:r>
          </w:p>
          <w:p w:rsidR="00CC2B8D" w:rsidRPr="000F6D38" w:rsidRDefault="00CC2B8D" w:rsidP="0008780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C2B8D" w:rsidRPr="00A53AF6" w:rsidRDefault="00CC2B8D" w:rsidP="0008780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53AF6">
              <w:rPr>
                <w:rFonts w:ascii="Times New Roman" w:hAnsi="Times New Roman" w:cs="Times New Roman"/>
                <w:b/>
                <w:lang w:val="kk-KZ"/>
              </w:rPr>
              <w:t>Өлшемдері:</w:t>
            </w:r>
          </w:p>
          <w:p w:rsidR="00CC2B8D" w:rsidRPr="00AF1AE6" w:rsidRDefault="00CC2B8D" w:rsidP="0008780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F1AE6">
              <w:rPr>
                <w:rFonts w:ascii="Times New Roman" w:hAnsi="Times New Roman" w:cs="Times New Roman"/>
                <w:lang w:val="kk-KZ"/>
              </w:rPr>
              <w:t>Ұзындығы: 33,3 см кем емес және 33,5 см артық емес;</w:t>
            </w:r>
          </w:p>
          <w:p w:rsidR="00CC2B8D" w:rsidRPr="00AF1AE6" w:rsidRDefault="00CC2B8D" w:rsidP="0008780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F1AE6">
              <w:rPr>
                <w:rFonts w:ascii="Times New Roman" w:hAnsi="Times New Roman" w:cs="Times New Roman"/>
                <w:lang w:val="kk-KZ"/>
              </w:rPr>
              <w:t>Ені: 5,9 см-ден кем емес және 6,1 см-ден артық емес;</w:t>
            </w:r>
          </w:p>
          <w:p w:rsidR="00CC2B8D" w:rsidRDefault="00CC2B8D" w:rsidP="0008780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F1AE6">
              <w:rPr>
                <w:rFonts w:ascii="Times New Roman" w:hAnsi="Times New Roman" w:cs="Times New Roman"/>
                <w:lang w:val="kk-KZ"/>
              </w:rPr>
              <w:t>Биіктігі; 20,8 см-ден кем емес және 20,9 см-ден артық емес.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C2B8D" w:rsidRDefault="00CC2B8D" w:rsidP="0008780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C2B8D" w:rsidRPr="000F6D38" w:rsidRDefault="00CC2B8D" w:rsidP="0008780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F6D38">
              <w:rPr>
                <w:rFonts w:ascii="Times New Roman" w:hAnsi="Times New Roman" w:cs="Times New Roman"/>
                <w:lang w:val="kk-KZ"/>
              </w:rPr>
              <w:t>Evertz</w:t>
            </w:r>
            <w:r>
              <w:rPr>
                <w:rFonts w:ascii="Times New Roman" w:hAnsi="Times New Roman" w:cs="Times New Roman"/>
                <w:lang w:val="kk-KZ"/>
              </w:rPr>
              <w:t>-тен</w:t>
            </w:r>
            <w:r w:rsidRPr="000F6D38">
              <w:rPr>
                <w:rFonts w:ascii="Times New Roman" w:hAnsi="Times New Roman" w:cs="Times New Roman"/>
                <w:lang w:val="kk-KZ"/>
              </w:rPr>
              <w:t xml:space="preserve"> 241 374 0021 сериялық нөмірі</w:t>
            </w:r>
            <w:r>
              <w:rPr>
                <w:rFonts w:ascii="Times New Roman" w:hAnsi="Times New Roman" w:cs="Times New Roman"/>
                <w:lang w:val="kk-KZ"/>
              </w:rPr>
              <w:t>мен</w:t>
            </w:r>
            <w:r w:rsidRPr="000F6D3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0F6D38">
              <w:rPr>
                <w:rFonts w:ascii="Times New Roman" w:hAnsi="Times New Roman" w:cs="Times New Roman"/>
                <w:lang w:val="kk-KZ"/>
              </w:rPr>
              <w:t>EMX6-FR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0F6D3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фрейімімен</w:t>
            </w:r>
            <w:r w:rsidRPr="000F6D38">
              <w:rPr>
                <w:rFonts w:ascii="Times New Roman" w:hAnsi="Times New Roman" w:cs="Times New Roman"/>
                <w:lang w:val="kk-KZ"/>
              </w:rPr>
              <w:t xml:space="preserve"> үйлесімділі</w:t>
            </w:r>
            <w:r>
              <w:rPr>
                <w:rFonts w:ascii="Times New Roman" w:hAnsi="Times New Roman" w:cs="Times New Roman"/>
                <w:lang w:val="kk-KZ"/>
              </w:rPr>
              <w:t>гі</w:t>
            </w:r>
            <w:r w:rsidRPr="000F6D38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C2B8D" w:rsidRPr="000F6D38" w:rsidRDefault="00CC2B8D" w:rsidP="0008780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C2B8D" w:rsidRPr="000F6D38" w:rsidRDefault="00CC2B8D" w:rsidP="000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F6D38">
              <w:rPr>
                <w:rFonts w:ascii="Times New Roman" w:hAnsi="Times New Roman" w:cs="Times New Roman"/>
                <w:lang w:val="kk-KZ"/>
              </w:rPr>
              <w:t>Evertz</w:t>
            </w:r>
            <w:r>
              <w:rPr>
                <w:rFonts w:ascii="Times New Roman" w:hAnsi="Times New Roman" w:cs="Times New Roman"/>
                <w:lang w:val="kk-KZ"/>
              </w:rPr>
              <w:t xml:space="preserve">-тен </w:t>
            </w:r>
            <w:r w:rsidRPr="000F6D38">
              <w:rPr>
                <w:rFonts w:ascii="Times New Roman" w:hAnsi="Times New Roman" w:cs="Times New Roman"/>
                <w:lang w:val="kk-KZ"/>
              </w:rPr>
              <w:t xml:space="preserve">EMX6-FR </w:t>
            </w:r>
            <w:r>
              <w:rPr>
                <w:rFonts w:ascii="Times New Roman" w:hAnsi="Times New Roman" w:cs="Times New Roman"/>
                <w:lang w:val="kk-KZ"/>
              </w:rPr>
              <w:t>фреймі</w:t>
            </w:r>
            <w:r w:rsidRPr="000F6D38">
              <w:rPr>
                <w:rFonts w:ascii="Times New Roman" w:hAnsi="Times New Roman" w:cs="Times New Roman"/>
                <w:lang w:val="kk-KZ"/>
              </w:rPr>
              <w:t xml:space="preserve"> үшін қол</w:t>
            </w:r>
            <w:r>
              <w:rPr>
                <w:rFonts w:ascii="Times New Roman" w:hAnsi="Times New Roman" w:cs="Times New Roman"/>
                <w:lang w:val="kk-KZ"/>
              </w:rPr>
              <w:t xml:space="preserve">даныстағы </w:t>
            </w:r>
            <w:r w:rsidRPr="000F6D38">
              <w:rPr>
                <w:rFonts w:ascii="Times New Roman" w:hAnsi="Times New Roman" w:cs="Times New Roman"/>
                <w:lang w:val="kk-KZ"/>
              </w:rPr>
              <w:t xml:space="preserve">EMX6-PS қуат </w:t>
            </w:r>
            <w:r>
              <w:rPr>
                <w:rFonts w:ascii="Times New Roman" w:hAnsi="Times New Roman" w:cs="Times New Roman"/>
                <w:lang w:val="kk-KZ"/>
              </w:rPr>
              <w:t>блогына</w:t>
            </w:r>
            <w:r w:rsidRPr="000F6D38">
              <w:rPr>
                <w:rFonts w:ascii="Times New Roman" w:hAnsi="Times New Roman" w:cs="Times New Roman"/>
                <w:lang w:val="kk-KZ"/>
              </w:rPr>
              <w:t xml:space="preserve"> ұқсас.</w:t>
            </w:r>
          </w:p>
          <w:p w:rsidR="00CC2B8D" w:rsidRPr="000F6D38" w:rsidRDefault="00CC2B8D" w:rsidP="000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C2B8D" w:rsidRPr="000F6D38" w:rsidRDefault="00CC2B8D" w:rsidP="000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lastRenderedPageBreak/>
              <w:t>Бұрын пайдалануда болған</w:t>
            </w: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, қалпына келтірілген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Pr="000F6D38">
              <w:rPr>
                <w:rFonts w:ascii="Times New Roman" w:hAnsi="Times New Roman" w:cs="Times New Roman"/>
                <w:lang w:val="kk-KZ"/>
              </w:rPr>
              <w:t>жабдықты жеткізуге жол берілмейді.</w:t>
            </w:r>
          </w:p>
          <w:p w:rsidR="00CC2B8D" w:rsidRPr="000F6D38" w:rsidRDefault="00CC2B8D" w:rsidP="000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F6D38">
              <w:rPr>
                <w:rFonts w:ascii="Times New Roman" w:hAnsi="Times New Roman" w:cs="Times New Roman"/>
                <w:lang w:val="kk-KZ"/>
              </w:rPr>
              <w:t xml:space="preserve">Жабдықтың тұтастығы бұзылмауы керек. </w:t>
            </w:r>
          </w:p>
          <w:p w:rsidR="00CC2B8D" w:rsidRPr="000F6D38" w:rsidRDefault="00CC2B8D" w:rsidP="000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F6D38">
              <w:rPr>
                <w:rFonts w:ascii="Times New Roman" w:hAnsi="Times New Roman" w:cs="Times New Roman"/>
                <w:lang w:val="kk-KZ"/>
              </w:rPr>
              <w:t>Жабдық қаптамада, тұтастығын бұзбай жеткізілуі керек.</w:t>
            </w:r>
          </w:p>
          <w:p w:rsidR="00CC2B8D" w:rsidRPr="000F6D38" w:rsidRDefault="00CC2B8D" w:rsidP="0008780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C2B8D" w:rsidRPr="000F6D38" w:rsidTr="00087800">
        <w:tc>
          <w:tcPr>
            <w:tcW w:w="211" w:type="pct"/>
          </w:tcPr>
          <w:p w:rsidR="00CC2B8D" w:rsidRPr="000F6D38" w:rsidRDefault="00CC2B8D" w:rsidP="000878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F6D38"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1620" w:type="pct"/>
          </w:tcPr>
          <w:p w:rsidR="00CC2B8D" w:rsidRPr="000F6D38" w:rsidRDefault="00CC2B8D" w:rsidP="000878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Ілеспе</w:t>
            </w:r>
            <w:r w:rsidRPr="000F6D38">
              <w:rPr>
                <w:rFonts w:ascii="Times New Roman" w:hAnsi="Times New Roman" w:cs="Times New Roman"/>
                <w:lang w:val="kk-KZ"/>
              </w:rPr>
              <w:t xml:space="preserve"> қызметтер (қажет болған жағдайда көрсетіледі) (монтаждау, іске қосу, дайындау, тексеру және тауарларды сынау)</w:t>
            </w:r>
          </w:p>
        </w:tc>
        <w:tc>
          <w:tcPr>
            <w:tcW w:w="3169" w:type="pct"/>
          </w:tcPr>
          <w:p w:rsidR="00CC2B8D" w:rsidRPr="000F6D38" w:rsidRDefault="00CC2B8D" w:rsidP="0008780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6D38">
              <w:rPr>
                <w:rFonts w:ascii="Times New Roman" w:eastAsia="Calibri" w:hAnsi="Times New Roman" w:cs="Times New Roman"/>
                <w:lang w:val="kk-KZ"/>
              </w:rPr>
              <w:t>Сомаға жеткізу кіреді</w:t>
            </w:r>
          </w:p>
        </w:tc>
      </w:tr>
      <w:tr w:rsidR="00CC2B8D" w:rsidRPr="000F6D38" w:rsidTr="00087800">
        <w:tc>
          <w:tcPr>
            <w:tcW w:w="211" w:type="pct"/>
          </w:tcPr>
          <w:p w:rsidR="00CC2B8D" w:rsidRPr="000F6D38" w:rsidRDefault="00CC2B8D" w:rsidP="000878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</w:tcPr>
          <w:p w:rsidR="00CC2B8D" w:rsidRPr="000F6D38" w:rsidRDefault="00CC2B8D" w:rsidP="0008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92453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өнім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берушіге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оны </w:t>
            </w:r>
            <w:proofErr w:type="spellStart"/>
            <w:r w:rsidRPr="00992453">
              <w:rPr>
                <w:rFonts w:ascii="Times New Roman" w:hAnsi="Times New Roman" w:cs="Times New Roman"/>
              </w:rPr>
              <w:t>жеңімпаз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деп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анықтаған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және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онымен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алу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шарт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жасасқан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қойылатын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талаптар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92453">
              <w:rPr>
                <w:rFonts w:ascii="Times New Roman" w:hAnsi="Times New Roman" w:cs="Times New Roman"/>
              </w:rPr>
              <w:t>қажет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болған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көрсетіледі</w:t>
            </w:r>
            <w:proofErr w:type="spellEnd"/>
            <w:r w:rsidRPr="00992453">
              <w:rPr>
                <w:rFonts w:ascii="Times New Roman" w:hAnsi="Times New Roman" w:cs="Times New Roman"/>
              </w:rPr>
              <w:t>) (</w:t>
            </w:r>
            <w:proofErr w:type="spellStart"/>
            <w:r w:rsidRPr="00992453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өнім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берушіні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көрсетілген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мәліметтерді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көрсетпегені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ұсынбағаны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үшін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қабылдамауға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жол</w:t>
            </w:r>
            <w:proofErr w:type="spellEnd"/>
            <w:r w:rsidRPr="00992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453">
              <w:rPr>
                <w:rFonts w:ascii="Times New Roman" w:hAnsi="Times New Roman" w:cs="Times New Roman"/>
              </w:rPr>
              <w:t>берілмейді</w:t>
            </w:r>
            <w:proofErr w:type="spellEnd"/>
            <w:r w:rsidRPr="009924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69" w:type="pct"/>
          </w:tcPr>
          <w:p w:rsidR="00CC2B8D" w:rsidRPr="000F6D38" w:rsidRDefault="00CC2B8D" w:rsidP="000878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C2B8D" w:rsidRPr="000F6D38" w:rsidRDefault="00CC2B8D" w:rsidP="00CC2B8D">
      <w:pPr>
        <w:spacing w:after="0" w:line="240" w:lineRule="auto"/>
        <w:rPr>
          <w:rFonts w:ascii="Times New Roman" w:hAnsi="Times New Roman" w:cs="Times New Roman"/>
        </w:rPr>
      </w:pPr>
    </w:p>
    <w:p w:rsidR="00CC2B8D" w:rsidRPr="000F6D38" w:rsidRDefault="00CC2B8D" w:rsidP="00CC2B8D">
      <w:pPr>
        <w:spacing w:after="0" w:line="240" w:lineRule="auto"/>
        <w:rPr>
          <w:rFonts w:ascii="Times New Roman" w:hAnsi="Times New Roman" w:cs="Times New Roman"/>
        </w:rPr>
      </w:pPr>
    </w:p>
    <w:p w:rsidR="00CC2B8D" w:rsidRPr="000F6D38" w:rsidRDefault="00CC2B8D" w:rsidP="00CC2B8D">
      <w:pPr>
        <w:spacing w:after="0" w:line="240" w:lineRule="auto"/>
        <w:rPr>
          <w:rFonts w:ascii="Times New Roman" w:hAnsi="Times New Roman" w:cs="Times New Roman"/>
        </w:rPr>
      </w:pPr>
    </w:p>
    <w:p w:rsidR="00CC2B8D" w:rsidRPr="000F6D38" w:rsidRDefault="00CC2B8D" w:rsidP="00CC2B8D">
      <w:pPr>
        <w:pStyle w:val="a4"/>
        <w:jc w:val="center"/>
        <w:rPr>
          <w:rFonts w:ascii="Times New Roman" w:hAnsi="Times New Roman" w:cs="Times New Roman"/>
          <w:b/>
        </w:rPr>
      </w:pPr>
    </w:p>
    <w:p w:rsidR="00CC2B8D" w:rsidRPr="000F6D38" w:rsidRDefault="00CC2B8D" w:rsidP="00CC2B8D">
      <w:pPr>
        <w:spacing w:after="0" w:line="240" w:lineRule="auto"/>
        <w:rPr>
          <w:rFonts w:ascii="Times New Roman" w:hAnsi="Times New Roman" w:cs="Times New Roman"/>
        </w:rPr>
      </w:pPr>
    </w:p>
    <w:p w:rsidR="00CC2B8D" w:rsidRPr="000F6D38" w:rsidRDefault="00CC2B8D" w:rsidP="00CC2B8D">
      <w:pPr>
        <w:spacing w:after="0" w:line="240" w:lineRule="auto"/>
        <w:rPr>
          <w:rFonts w:ascii="Times New Roman" w:hAnsi="Times New Roman" w:cs="Times New Roman"/>
        </w:rPr>
      </w:pPr>
    </w:p>
    <w:p w:rsidR="0046642C" w:rsidRDefault="0046642C"/>
    <w:sectPr w:rsidR="0046642C" w:rsidSect="004725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8D"/>
    <w:rsid w:val="0046642C"/>
    <w:rsid w:val="00CC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4C420-4034-4925-A36D-D8921350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B8D"/>
    <w:pPr>
      <w:spacing w:after="200" w:line="276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B8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B8D"/>
    <w:pPr>
      <w:spacing w:after="0" w:line="240" w:lineRule="auto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Aimdos Alisher N.</dc:creator>
  <cp:keywords/>
  <dc:description/>
  <cp:lastModifiedBy>Aimdos Alisher N.</cp:lastModifiedBy>
  <cp:revision>1</cp:revision>
  <dcterms:created xsi:type="dcterms:W3CDTF">2024-02-22T09:30:00Z</dcterms:created>
  <dcterms:modified xsi:type="dcterms:W3CDTF">2024-02-22T09:31:00Z</dcterms:modified>
</cp:coreProperties>
</file>