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87F" w:rsidRDefault="002B187F" w:rsidP="002B187F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ЕРЕКШЕЛІК</w:t>
      </w:r>
    </w:p>
    <w:p w:rsidR="002B187F" w:rsidRPr="00400B10" w:rsidRDefault="002B187F" w:rsidP="002B187F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2B187F" w:rsidRPr="00400B10" w:rsidTr="00087800">
        <w:tc>
          <w:tcPr>
            <w:tcW w:w="42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  <w:b/>
              </w:rPr>
            </w:pPr>
            <w:r w:rsidRPr="00400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5" w:type="dxa"/>
          </w:tcPr>
          <w:p w:rsidR="002B187F" w:rsidRPr="00400B10" w:rsidRDefault="002B187F" w:rsidP="000878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2B187F" w:rsidRPr="00400B10" w:rsidRDefault="002B187F" w:rsidP="000878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2B187F" w:rsidRPr="00400B10" w:rsidTr="00087800">
        <w:tc>
          <w:tcPr>
            <w:tcW w:w="42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bookmarkStart w:id="0" w:name="_GoBack"/>
            <w:r w:rsidRPr="003C24A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Екі арналы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цифрлық</w:t>
            </w:r>
            <w:r w:rsidRPr="003C24A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жарты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лай</w:t>
            </w:r>
            <w:r w:rsidRPr="003C24A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рэкті қабылдағыш</w:t>
            </w:r>
            <w:bookmarkEnd w:id="0"/>
          </w:p>
        </w:tc>
      </w:tr>
      <w:tr w:rsidR="002B187F" w:rsidRPr="00400B10" w:rsidTr="00087800">
        <w:tc>
          <w:tcPr>
            <w:tcW w:w="42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:rsidR="002B187F" w:rsidRPr="00E6531B" w:rsidRDefault="002B187F" w:rsidP="0008780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187F" w:rsidRPr="00400B10" w:rsidTr="00087800">
        <w:tc>
          <w:tcPr>
            <w:tcW w:w="42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</w:tr>
      <w:tr w:rsidR="002B187F" w:rsidRPr="00400B10" w:rsidTr="00087800">
        <w:tc>
          <w:tcPr>
            <w:tcW w:w="42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Кепілдік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400B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B10">
              <w:rPr>
                <w:rFonts w:ascii="Times New Roman" w:hAnsi="Times New Roman" w:cs="Times New Roman"/>
              </w:rPr>
              <w:t>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B187F" w:rsidRPr="002B187F" w:rsidTr="00087800">
        <w:tc>
          <w:tcPr>
            <w:tcW w:w="42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2B187F" w:rsidRDefault="002B187F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2B187F" w:rsidRPr="00E85E33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E85E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Қайталанатын жиілік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тер</w:t>
            </w:r>
            <w:r w:rsidRPr="00E85E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диапазоны: 20 Гц-тен ке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 емес және 20000 Гц-тен артық емес</w:t>
            </w:r>
            <w:r w:rsidRPr="00E85E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2B187F" w:rsidRPr="00E85E33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E85E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Радиожиілік диапазоны: 470 МГц кем емес 550 МГц артық емес;</w:t>
            </w:r>
          </w:p>
          <w:p w:rsidR="002B187F" w:rsidRPr="00E85E33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E85E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Ауыстыру жолағы: 88 МГц дейін;</w:t>
            </w:r>
          </w:p>
          <w:p w:rsidR="002B187F" w:rsidRPr="00E85E33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E85E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Сымсыз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жіберудің кідірісі: 1,9 мс аспайды</w:t>
            </w:r>
            <w:r w:rsidRPr="00E85E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2B187F" w:rsidRPr="00E85E33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E85E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Динамикалық диапазон 134 дБ;</w:t>
            </w:r>
          </w:p>
          <w:p w:rsidR="002B187F" w:rsidRPr="00C32E6C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Интермодуляциясы жоқ арналар: кемінде AES 256 шифрлауымен 293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-тен 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артық емес;</w:t>
            </w:r>
          </w:p>
          <w:p w:rsidR="002B187F" w:rsidRPr="00C32E6C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Ethernet арқылы қ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оректенуі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(Po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Е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IEEE 802.3af, 3-сыныптан кем емес);</w:t>
            </w:r>
          </w:p>
          <w:p w:rsidR="002B187F" w:rsidRPr="00C32E6C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Қуат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блогының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болуы: 1А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ға кемінде 12В;</w:t>
            </w:r>
          </w:p>
          <w:p w:rsidR="002B187F" w:rsidRPr="00C32E6C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Ethernet қосылымдары: кем дегенде 2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(IPv4 және IPv6);</w:t>
            </w:r>
          </w:p>
          <w:p w:rsidR="002B187F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 xml:space="preserve">Антенна кірісі: кем дегенде 2 (BNC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ағытпасы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);</w:t>
            </w:r>
          </w:p>
          <w:p w:rsidR="002B187F" w:rsidRPr="00C32E6C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Шығу: кем дегенде 2 (XLR male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ағытпасы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);</w:t>
            </w:r>
          </w:p>
          <w:p w:rsidR="002B187F" w:rsidRPr="00C32E6C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           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кем дегенде 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miniJa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k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ағытпасы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);</w:t>
            </w:r>
          </w:p>
          <w:p w:rsidR="002B187F" w:rsidRPr="00C32E6C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Жұмыс температурасы: -10°С-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 +55°С-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ге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дейін;</w:t>
            </w:r>
          </w:p>
          <w:p w:rsidR="002B187F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Салмағы: 1 кг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кем емес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2B187F" w:rsidRPr="00C32E6C" w:rsidRDefault="002B187F" w:rsidP="0008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Жеткізу жиынтығында кем дегенде 2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өзекті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антенна, бекіткіштер жиынтығы,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Е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D қуат көзі (адаптерлер жиынтығымен) болуы керек.</w:t>
            </w:r>
          </w:p>
          <w:p w:rsidR="002B187F" w:rsidRDefault="002B187F" w:rsidP="0008780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Sennheiser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AD3700, 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Sennheiser AB 3700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антенналарымен үйлесімді болуы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қажет.</w:t>
            </w:r>
          </w:p>
          <w:p w:rsidR="002B187F" w:rsidRPr="00DD1268" w:rsidRDefault="002B187F" w:rsidP="00087800">
            <w:pPr>
              <w:suppressAutoHyphens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bookmarkStart w:id="1" w:name="_Hlk157180470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Бұрын пайдалануда болған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, қалпына келтірілген, қайта өңделген немесе қандай да бір жолмен өзгертілген </w:t>
            </w:r>
            <w:bookmarkEnd w:id="1"/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қабылдағышты жеткізуге жол берілмейді.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br/>
            </w:r>
            <w:r w:rsidRPr="00305635">
              <w:rPr>
                <w:rFonts w:ascii="Times New Roman" w:hAnsi="Times New Roman" w:cs="Times New Roman"/>
                <w:lang w:val="kk-KZ"/>
              </w:rPr>
              <w:t xml:space="preserve">Аукцион құрамында әлеуетті 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305635">
              <w:rPr>
                <w:rFonts w:ascii="Times New Roman" w:hAnsi="Times New Roman" w:cs="Times New Roman"/>
                <w:lang w:val="kk-KZ"/>
              </w:rPr>
              <w:t xml:space="preserve">нім беруші жабдық өндірушісінен не оның ресми өкілінен (дилерден немесе дистрибьютордан) әлеуетті 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305635">
              <w:rPr>
                <w:rFonts w:ascii="Times New Roman" w:hAnsi="Times New Roman" w:cs="Times New Roman"/>
                <w:lang w:val="kk-KZ"/>
              </w:rPr>
              <w:t>нім берушінің техникалық ерекшелігінде көрсетілген авторизациялық хаттың көшірмесін ұсынуға тиіс.</w:t>
            </w:r>
          </w:p>
          <w:p w:rsidR="002B187F" w:rsidRPr="00F81842" w:rsidRDefault="002B187F" w:rsidP="00087800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187F" w:rsidRPr="002B187F" w:rsidTr="00087800">
        <w:tc>
          <w:tcPr>
            <w:tcW w:w="425" w:type="dxa"/>
          </w:tcPr>
          <w:p w:rsidR="002B187F" w:rsidRPr="001B7126" w:rsidRDefault="002B187F" w:rsidP="00087800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545" w:type="dxa"/>
          </w:tcPr>
          <w:p w:rsidR="002B187F" w:rsidRPr="001B7126" w:rsidRDefault="002B187F" w:rsidP="00087800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2B187F" w:rsidRPr="00400B10" w:rsidRDefault="002B187F" w:rsidP="0008780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187F" w:rsidRPr="00400B10" w:rsidTr="00087800">
        <w:tc>
          <w:tcPr>
            <w:tcW w:w="42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C90CEA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өнім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берушіге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оны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деп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анықтаған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және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алу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шарт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жасасқан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0CEA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C90CEA">
              <w:rPr>
                <w:rFonts w:ascii="Times New Roman" w:hAnsi="Times New Roman" w:cs="Times New Roman"/>
              </w:rPr>
              <w:t>) (</w:t>
            </w:r>
            <w:proofErr w:type="spellStart"/>
            <w:r w:rsidRPr="00C90CEA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өнім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ұсынбағаны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үшін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жол</w:t>
            </w:r>
            <w:proofErr w:type="spellEnd"/>
            <w:r w:rsidRPr="00C90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CEA">
              <w:rPr>
                <w:rFonts w:ascii="Times New Roman" w:hAnsi="Times New Roman" w:cs="Times New Roman"/>
              </w:rPr>
              <w:t>берілмейді</w:t>
            </w:r>
            <w:proofErr w:type="spellEnd"/>
            <w:r w:rsidRPr="00C90C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2B187F" w:rsidRPr="00400B10" w:rsidRDefault="002B187F" w:rsidP="00087800">
            <w:pPr>
              <w:rPr>
                <w:rFonts w:ascii="Times New Roman" w:hAnsi="Times New Roman" w:cs="Times New Roman"/>
              </w:rPr>
            </w:pPr>
          </w:p>
        </w:tc>
      </w:tr>
    </w:tbl>
    <w:p w:rsidR="0046642C" w:rsidRDefault="0046642C"/>
    <w:sectPr w:rsidR="0046642C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7F"/>
    <w:rsid w:val="002B187F"/>
    <w:rsid w:val="004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2DCA"/>
  <w15:chartTrackingRefBased/>
  <w15:docId w15:val="{559C4066-0957-482B-A13F-E7A471E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spacing w:after="200" w:line="276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187F"/>
    <w:pPr>
      <w:spacing w:after="0" w:line="240" w:lineRule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2024-02-22T09:36:00Z</dcterms:created>
  <dcterms:modified xsi:type="dcterms:W3CDTF">2024-02-22T09:36:00Z</dcterms:modified>
</cp:coreProperties>
</file>