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E5" w:rsidRPr="00B735BF" w:rsidRDefault="00897BE5" w:rsidP="00897BE5">
      <w:pPr>
        <w:jc w:val="center"/>
        <w:rPr>
          <w:b/>
          <w:bCs/>
          <w:color w:val="auto"/>
          <w:lang w:val="kk-KZ"/>
        </w:rPr>
      </w:pPr>
      <w:r w:rsidRPr="00B735BF">
        <w:rPr>
          <w:b/>
          <w:bCs/>
          <w:color w:val="auto"/>
          <w:lang w:val="kk-KZ"/>
        </w:rPr>
        <w:t>«Дәлме-дәл кондиционерлерге қызмет көрсету</w:t>
      </w:r>
      <w:r>
        <w:rPr>
          <w:b/>
          <w:bCs/>
          <w:color w:val="auto"/>
          <w:lang w:val="kk-KZ"/>
        </w:rPr>
        <w:t xml:space="preserve"> бойынша қызмет</w:t>
      </w:r>
      <w:r w:rsidRPr="00B735BF">
        <w:rPr>
          <w:b/>
          <w:bCs/>
          <w:color w:val="auto"/>
          <w:lang w:val="kk-KZ"/>
        </w:rPr>
        <w:t>»</w:t>
      </w:r>
    </w:p>
    <w:p w:rsidR="00897BE5" w:rsidRPr="00B735BF" w:rsidRDefault="00897BE5" w:rsidP="00897BE5">
      <w:pPr>
        <w:jc w:val="center"/>
        <w:rPr>
          <w:b/>
          <w:bCs/>
          <w:color w:val="auto"/>
          <w:lang w:val="kk-KZ"/>
        </w:rPr>
      </w:pPr>
      <w:r w:rsidRPr="00B735BF">
        <w:rPr>
          <w:b/>
          <w:bCs/>
          <w:color w:val="auto"/>
          <w:lang w:val="kk-KZ"/>
        </w:rPr>
        <w:t>сатып алынатын қызметтің</w:t>
      </w:r>
    </w:p>
    <w:p w:rsidR="00897BE5" w:rsidRPr="00B735BF" w:rsidRDefault="00897BE5" w:rsidP="00897BE5">
      <w:pPr>
        <w:jc w:val="center"/>
        <w:rPr>
          <w:b/>
          <w:bCs/>
          <w:color w:val="auto"/>
          <w:lang w:val="kk-KZ"/>
        </w:rPr>
      </w:pPr>
      <w:r w:rsidRPr="00B735BF">
        <w:rPr>
          <w:b/>
          <w:bCs/>
          <w:color w:val="auto"/>
          <w:lang w:val="kk-KZ"/>
        </w:rPr>
        <w:t>ТЕХНИКАЛЫҚ ЕРЕКШЕЛІГІ</w:t>
      </w:r>
    </w:p>
    <w:p w:rsidR="00897BE5" w:rsidRPr="00710B87" w:rsidRDefault="00897BE5" w:rsidP="00897BE5">
      <w:pPr>
        <w:jc w:val="center"/>
        <w:rPr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897BE5" w:rsidRPr="00C4006B" w:rsidTr="00622247">
        <w:tc>
          <w:tcPr>
            <w:tcW w:w="425" w:type="dxa"/>
          </w:tcPr>
          <w:p w:rsidR="00897BE5" w:rsidRPr="00C4006B" w:rsidRDefault="00897BE5" w:rsidP="00622247">
            <w:pPr>
              <w:rPr>
                <w:b/>
              </w:rPr>
            </w:pPr>
            <w:r w:rsidRPr="00C4006B">
              <w:rPr>
                <w:b/>
              </w:rPr>
              <w:t>№</w:t>
            </w:r>
          </w:p>
        </w:tc>
        <w:tc>
          <w:tcPr>
            <w:tcW w:w="3545" w:type="dxa"/>
          </w:tcPr>
          <w:p w:rsidR="00897BE5" w:rsidRPr="00C4006B" w:rsidRDefault="00897BE5" w:rsidP="00622247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897BE5" w:rsidRPr="00C4006B" w:rsidRDefault="00897BE5" w:rsidP="00622247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Талаптар</w:t>
            </w:r>
            <w:proofErr w:type="spellEnd"/>
          </w:p>
        </w:tc>
      </w:tr>
      <w:tr w:rsidR="00897BE5" w:rsidRPr="00C4006B" w:rsidTr="00622247">
        <w:tc>
          <w:tcPr>
            <w:tcW w:w="425" w:type="dxa"/>
          </w:tcPr>
          <w:p w:rsidR="00897BE5" w:rsidRPr="00C4006B" w:rsidRDefault="00897BE5" w:rsidP="00622247">
            <w:pPr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1</w:t>
            </w:r>
          </w:p>
        </w:tc>
        <w:tc>
          <w:tcPr>
            <w:tcW w:w="3545" w:type="dxa"/>
          </w:tcPr>
          <w:p w:rsidR="00897BE5" w:rsidRPr="00327F5E" w:rsidRDefault="00897BE5" w:rsidP="00622247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327F5E">
              <w:rPr>
                <w:sz w:val="22"/>
                <w:szCs w:val="22"/>
              </w:rPr>
              <w:t>Қызметтің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897BE5" w:rsidRPr="00327F5E" w:rsidRDefault="00897BE5" w:rsidP="00622247">
            <w:pPr>
              <w:jc w:val="left"/>
              <w:rPr>
                <w:b/>
                <w:sz w:val="22"/>
                <w:szCs w:val="22"/>
              </w:rPr>
            </w:pPr>
            <w:r w:rsidRPr="00B735BF">
              <w:rPr>
                <w:bCs/>
                <w:sz w:val="22"/>
                <w:szCs w:val="22"/>
                <w:lang w:val="kk-KZ"/>
              </w:rPr>
              <w:t>Дәлме-дәл кондиционерлерге қызмет көрсету</w:t>
            </w:r>
            <w:r>
              <w:rPr>
                <w:bCs/>
                <w:sz w:val="22"/>
                <w:szCs w:val="22"/>
                <w:lang w:val="kk-KZ"/>
              </w:rPr>
              <w:t xml:space="preserve"> бойынша қызмет</w:t>
            </w:r>
          </w:p>
        </w:tc>
      </w:tr>
      <w:bookmarkEnd w:id="0"/>
      <w:tr w:rsidR="00897BE5" w:rsidRPr="00C4006B" w:rsidTr="00622247">
        <w:tc>
          <w:tcPr>
            <w:tcW w:w="425" w:type="dxa"/>
          </w:tcPr>
          <w:p w:rsidR="00897BE5" w:rsidRPr="00C4006B" w:rsidRDefault="00897BE5" w:rsidP="00622247">
            <w:r>
              <w:t>2</w:t>
            </w:r>
          </w:p>
        </w:tc>
        <w:tc>
          <w:tcPr>
            <w:tcW w:w="3545" w:type="dxa"/>
          </w:tcPr>
          <w:p w:rsidR="00897BE5" w:rsidRPr="00327F5E" w:rsidRDefault="00897BE5" w:rsidP="00622247">
            <w:pPr>
              <w:rPr>
                <w:sz w:val="22"/>
                <w:szCs w:val="22"/>
              </w:rPr>
            </w:pPr>
            <w:proofErr w:type="spellStart"/>
            <w:r w:rsidRPr="00327F5E">
              <w:rPr>
                <w:sz w:val="22"/>
                <w:szCs w:val="22"/>
              </w:rPr>
              <w:t>Кепілдік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мерзімі</w:t>
            </w:r>
            <w:proofErr w:type="spellEnd"/>
            <w:r w:rsidRPr="00327F5E">
              <w:rPr>
                <w:sz w:val="22"/>
                <w:szCs w:val="22"/>
                <w:lang w:val="en-US"/>
              </w:rPr>
              <w:t xml:space="preserve"> </w:t>
            </w:r>
            <w:r w:rsidRPr="00327F5E">
              <w:rPr>
                <w:sz w:val="22"/>
                <w:szCs w:val="22"/>
              </w:rPr>
              <w:t>(</w:t>
            </w:r>
            <w:proofErr w:type="spellStart"/>
            <w:r w:rsidRPr="00327F5E">
              <w:rPr>
                <w:sz w:val="22"/>
                <w:szCs w:val="22"/>
              </w:rPr>
              <w:t>айлар</w:t>
            </w:r>
            <w:proofErr w:type="spellEnd"/>
            <w:r w:rsidRPr="00327F5E">
              <w:rPr>
                <w:sz w:val="22"/>
                <w:szCs w:val="22"/>
              </w:rPr>
              <w:t>)</w:t>
            </w:r>
          </w:p>
        </w:tc>
        <w:tc>
          <w:tcPr>
            <w:tcW w:w="6379" w:type="dxa"/>
          </w:tcPr>
          <w:p w:rsidR="00897BE5" w:rsidRPr="00327F5E" w:rsidRDefault="00897BE5" w:rsidP="00622247">
            <w:pPr>
              <w:rPr>
                <w:sz w:val="22"/>
                <w:szCs w:val="22"/>
              </w:rPr>
            </w:pPr>
          </w:p>
        </w:tc>
      </w:tr>
      <w:tr w:rsidR="00897BE5" w:rsidRPr="007D2263" w:rsidTr="00622247">
        <w:tc>
          <w:tcPr>
            <w:tcW w:w="425" w:type="dxa"/>
          </w:tcPr>
          <w:p w:rsidR="00897BE5" w:rsidRPr="00C4006B" w:rsidRDefault="00897BE5" w:rsidP="00622247">
            <w:r>
              <w:t>3</w:t>
            </w:r>
          </w:p>
        </w:tc>
        <w:tc>
          <w:tcPr>
            <w:tcW w:w="3545" w:type="dxa"/>
          </w:tcPr>
          <w:p w:rsidR="00897BE5" w:rsidRPr="00327F5E" w:rsidRDefault="00897BE5" w:rsidP="00622247">
            <w:pPr>
              <w:jc w:val="left"/>
              <w:rPr>
                <w:sz w:val="22"/>
                <w:szCs w:val="22"/>
              </w:rPr>
            </w:pPr>
            <w:proofErr w:type="spellStart"/>
            <w:r w:rsidRPr="00327F5E">
              <w:rPr>
                <w:sz w:val="22"/>
                <w:szCs w:val="22"/>
              </w:rPr>
              <w:t>Талап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етілетін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сипаттамалардың</w:t>
            </w:r>
            <w:proofErr w:type="spellEnd"/>
            <w:r w:rsidRPr="00327F5E">
              <w:rPr>
                <w:sz w:val="22"/>
                <w:szCs w:val="22"/>
              </w:rPr>
              <w:t xml:space="preserve">, </w:t>
            </w:r>
            <w:proofErr w:type="spellStart"/>
            <w:r w:rsidRPr="00327F5E">
              <w:rPr>
                <w:sz w:val="22"/>
                <w:szCs w:val="22"/>
              </w:rPr>
              <w:t>параметрлердің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және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өзге</w:t>
            </w:r>
            <w:proofErr w:type="spellEnd"/>
            <w:r w:rsidRPr="00327F5E">
              <w:rPr>
                <w:sz w:val="22"/>
                <w:szCs w:val="22"/>
              </w:rPr>
              <w:t xml:space="preserve"> де </w:t>
            </w:r>
            <w:proofErr w:type="spellStart"/>
            <w:r w:rsidRPr="00327F5E">
              <w:rPr>
                <w:sz w:val="22"/>
                <w:szCs w:val="22"/>
              </w:rPr>
              <w:t>бастапқы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деректердің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сипаттамасы</w:t>
            </w:r>
            <w:proofErr w:type="spellEnd"/>
            <w:r w:rsidRPr="00327F5E">
              <w:rPr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1.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Техникалық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қызмет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көрсетуге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жататын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 кондиционер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жабдығы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: GEA DENCO </w:t>
            </w:r>
            <w:r>
              <w:rPr>
                <w:bCs/>
                <w:color w:val="auto"/>
                <w:sz w:val="22"/>
                <w:szCs w:val="22"/>
                <w:lang w:val="kk-KZ"/>
              </w:rPr>
              <w:t>дәлме-дәл</w:t>
            </w: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кондиционерлер</w:t>
            </w:r>
            <w:proofErr w:type="spellEnd"/>
            <w:r>
              <w:rPr>
                <w:bCs/>
                <w:color w:val="auto"/>
                <w:sz w:val="22"/>
                <w:szCs w:val="22"/>
                <w:lang w:val="kk-KZ"/>
              </w:rPr>
              <w:t>і</w:t>
            </w:r>
            <w:r>
              <w:rPr>
                <w:bCs/>
                <w:color w:val="auto"/>
                <w:sz w:val="22"/>
                <w:szCs w:val="22"/>
              </w:rPr>
              <w:t>, саны 48 дана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Модельдері: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131"/>
              <w:gridCol w:w="2555"/>
            </w:tblGrid>
            <w:tr w:rsidR="00897BE5" w:rsidTr="00622247">
              <w:tc>
                <w:tcPr>
                  <w:tcW w:w="2155" w:type="dxa"/>
                  <w:hideMark/>
                </w:tcPr>
                <w:p w:rsidR="00897BE5" w:rsidRDefault="00897BE5" w:rsidP="00622247">
                  <w:pPr>
                    <w:spacing w:line="276" w:lineRule="auto"/>
                    <w:jc w:val="left"/>
                    <w:rPr>
                      <w:bCs/>
                      <w:sz w:val="22"/>
                      <w:szCs w:val="22"/>
                      <w:highlight w:val="yellow"/>
                      <w:lang w:val="kk-KZ" w:eastAsia="en-US"/>
                    </w:rPr>
                  </w:pPr>
                  <w:r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U83 AVH </w:t>
                  </w:r>
                </w:p>
              </w:tc>
              <w:tc>
                <w:tcPr>
                  <w:tcW w:w="1131" w:type="dxa"/>
                </w:tcPr>
                <w:p w:rsidR="00897BE5" w:rsidRDefault="00897BE5" w:rsidP="00622247">
                  <w:pPr>
                    <w:spacing w:line="276" w:lineRule="auto"/>
                    <w:jc w:val="left"/>
                    <w:rPr>
                      <w:bCs/>
                      <w:sz w:val="22"/>
                      <w:szCs w:val="22"/>
                      <w:highlight w:val="yellow"/>
                      <w:lang w:val="kk-KZ" w:eastAsia="en-US"/>
                    </w:rPr>
                  </w:pPr>
                </w:p>
              </w:tc>
              <w:tc>
                <w:tcPr>
                  <w:tcW w:w="2555" w:type="dxa"/>
                  <w:hideMark/>
                </w:tcPr>
                <w:p w:rsidR="00897BE5" w:rsidRDefault="00897BE5" w:rsidP="00622247">
                  <w:pPr>
                    <w:spacing w:line="276" w:lineRule="auto"/>
                    <w:jc w:val="left"/>
                    <w:rPr>
                      <w:bCs/>
                      <w:sz w:val="22"/>
                      <w:szCs w:val="22"/>
                      <w:highlight w:val="yellow"/>
                      <w:lang w:val="kk-KZ" w:eastAsia="en-US"/>
                    </w:rPr>
                  </w:pPr>
                  <w:r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D63X </w:t>
                  </w:r>
                </w:p>
              </w:tc>
            </w:tr>
            <w:tr w:rsidR="00897BE5" w:rsidTr="00622247">
              <w:trPr>
                <w:trHeight w:val="227"/>
              </w:trPr>
              <w:tc>
                <w:tcPr>
                  <w:tcW w:w="2155" w:type="dxa"/>
                  <w:hideMark/>
                </w:tcPr>
                <w:p w:rsidR="00897BE5" w:rsidRDefault="00897BE5" w:rsidP="00622247">
                  <w:pPr>
                    <w:spacing w:line="276" w:lineRule="auto"/>
                    <w:jc w:val="left"/>
                    <w:rPr>
                      <w:bCs/>
                      <w:sz w:val="22"/>
                      <w:szCs w:val="22"/>
                      <w:highlight w:val="yellow"/>
                      <w:lang w:val="kk-KZ" w:eastAsia="en-US"/>
                    </w:rPr>
                  </w:pPr>
                  <w:r>
                    <w:rPr>
                      <w:bCs/>
                      <w:sz w:val="22"/>
                      <w:szCs w:val="22"/>
                      <w:lang w:val="kk-KZ" w:eastAsia="en-US"/>
                    </w:rPr>
                    <w:t>U103АV</w:t>
                  </w:r>
                </w:p>
              </w:tc>
              <w:tc>
                <w:tcPr>
                  <w:tcW w:w="1131" w:type="dxa"/>
                </w:tcPr>
                <w:p w:rsidR="00897BE5" w:rsidRDefault="00897BE5" w:rsidP="00622247">
                  <w:pPr>
                    <w:spacing w:line="276" w:lineRule="auto"/>
                    <w:jc w:val="left"/>
                    <w:rPr>
                      <w:bCs/>
                      <w:sz w:val="22"/>
                      <w:szCs w:val="22"/>
                      <w:highlight w:val="yellow"/>
                      <w:lang w:val="kk-KZ" w:eastAsia="en-US"/>
                    </w:rPr>
                  </w:pPr>
                </w:p>
              </w:tc>
              <w:tc>
                <w:tcPr>
                  <w:tcW w:w="2555" w:type="dxa"/>
                  <w:hideMark/>
                </w:tcPr>
                <w:p w:rsidR="00897BE5" w:rsidRDefault="00897BE5" w:rsidP="00622247">
                  <w:pPr>
                    <w:spacing w:line="276" w:lineRule="auto"/>
                    <w:jc w:val="left"/>
                    <w:rPr>
                      <w:bCs/>
                      <w:sz w:val="22"/>
                      <w:szCs w:val="22"/>
                      <w:highlight w:val="yellow"/>
                      <w:lang w:val="kk-KZ" w:eastAsia="en-US"/>
                    </w:rPr>
                  </w:pPr>
                  <w:r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U12AG </w:t>
                  </w:r>
                </w:p>
              </w:tc>
            </w:tr>
            <w:tr w:rsidR="00897BE5" w:rsidTr="00622247">
              <w:tc>
                <w:tcPr>
                  <w:tcW w:w="2155" w:type="dxa"/>
                  <w:hideMark/>
                </w:tcPr>
                <w:p w:rsidR="00897BE5" w:rsidRDefault="00897BE5" w:rsidP="00622247">
                  <w:pPr>
                    <w:spacing w:line="276" w:lineRule="auto"/>
                    <w:jc w:val="left"/>
                    <w:rPr>
                      <w:bCs/>
                      <w:sz w:val="22"/>
                      <w:szCs w:val="22"/>
                      <w:highlight w:val="yellow"/>
                      <w:lang w:val="kk-KZ" w:eastAsia="en-US"/>
                    </w:rPr>
                  </w:pPr>
                  <w:r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D83X </w:t>
                  </w:r>
                </w:p>
              </w:tc>
              <w:tc>
                <w:tcPr>
                  <w:tcW w:w="1131" w:type="dxa"/>
                </w:tcPr>
                <w:p w:rsidR="00897BE5" w:rsidRDefault="00897BE5" w:rsidP="00622247">
                  <w:pPr>
                    <w:spacing w:line="276" w:lineRule="auto"/>
                    <w:jc w:val="left"/>
                    <w:rPr>
                      <w:bCs/>
                      <w:sz w:val="22"/>
                      <w:szCs w:val="22"/>
                      <w:highlight w:val="yellow"/>
                      <w:lang w:val="kk-KZ" w:eastAsia="en-US"/>
                    </w:rPr>
                  </w:pPr>
                </w:p>
              </w:tc>
              <w:tc>
                <w:tcPr>
                  <w:tcW w:w="2555" w:type="dxa"/>
                  <w:hideMark/>
                </w:tcPr>
                <w:p w:rsidR="00897BE5" w:rsidRDefault="00897BE5" w:rsidP="00622247">
                  <w:pPr>
                    <w:spacing w:line="276" w:lineRule="auto"/>
                    <w:jc w:val="left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D28 AVG </w:t>
                  </w:r>
                </w:p>
              </w:tc>
            </w:tr>
            <w:tr w:rsidR="00897BE5" w:rsidTr="00622247">
              <w:tc>
                <w:tcPr>
                  <w:tcW w:w="2155" w:type="dxa"/>
                  <w:hideMark/>
                </w:tcPr>
                <w:p w:rsidR="00897BE5" w:rsidRDefault="00897BE5" w:rsidP="00622247">
                  <w:pPr>
                    <w:spacing w:line="276" w:lineRule="auto"/>
                    <w:jc w:val="left"/>
                    <w:rPr>
                      <w:bCs/>
                      <w:sz w:val="22"/>
                      <w:szCs w:val="22"/>
                      <w:highlight w:val="yellow"/>
                      <w:lang w:val="kk-KZ" w:eastAsia="en-US"/>
                    </w:rPr>
                  </w:pPr>
                  <w:r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D42X </w:t>
                  </w:r>
                </w:p>
              </w:tc>
              <w:tc>
                <w:tcPr>
                  <w:tcW w:w="1131" w:type="dxa"/>
                </w:tcPr>
                <w:p w:rsidR="00897BE5" w:rsidRDefault="00897BE5" w:rsidP="00622247">
                  <w:pPr>
                    <w:spacing w:line="276" w:lineRule="auto"/>
                    <w:jc w:val="left"/>
                    <w:rPr>
                      <w:bCs/>
                      <w:sz w:val="22"/>
                      <w:szCs w:val="22"/>
                      <w:highlight w:val="yellow"/>
                      <w:lang w:val="kk-KZ" w:eastAsia="en-US"/>
                    </w:rPr>
                  </w:pPr>
                </w:p>
              </w:tc>
              <w:tc>
                <w:tcPr>
                  <w:tcW w:w="2555" w:type="dxa"/>
                  <w:hideMark/>
                </w:tcPr>
                <w:p w:rsidR="00897BE5" w:rsidRDefault="00897BE5" w:rsidP="00622247">
                  <w:pPr>
                    <w:spacing w:line="276" w:lineRule="auto"/>
                    <w:jc w:val="left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D28 X </w:t>
                  </w:r>
                </w:p>
              </w:tc>
            </w:tr>
            <w:tr w:rsidR="00897BE5" w:rsidTr="00622247">
              <w:tc>
                <w:tcPr>
                  <w:tcW w:w="2155" w:type="dxa"/>
                  <w:hideMark/>
                </w:tcPr>
                <w:p w:rsidR="00897BE5" w:rsidRDefault="00897BE5" w:rsidP="00622247">
                  <w:pPr>
                    <w:spacing w:line="276" w:lineRule="auto"/>
                    <w:jc w:val="left"/>
                    <w:rPr>
                      <w:bCs/>
                      <w:sz w:val="22"/>
                      <w:szCs w:val="22"/>
                      <w:highlight w:val="yellow"/>
                      <w:lang w:val="kk-KZ" w:eastAsia="en-US"/>
                    </w:rPr>
                  </w:pPr>
                  <w:r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U94AVG </w:t>
                  </w:r>
                </w:p>
              </w:tc>
              <w:tc>
                <w:tcPr>
                  <w:tcW w:w="1131" w:type="dxa"/>
                </w:tcPr>
                <w:p w:rsidR="00897BE5" w:rsidRDefault="00897BE5" w:rsidP="00622247">
                  <w:pPr>
                    <w:spacing w:line="276" w:lineRule="auto"/>
                    <w:jc w:val="left"/>
                    <w:rPr>
                      <w:bCs/>
                      <w:sz w:val="22"/>
                      <w:szCs w:val="22"/>
                      <w:highlight w:val="yellow"/>
                      <w:lang w:val="kk-KZ" w:eastAsia="en-US"/>
                    </w:rPr>
                  </w:pPr>
                </w:p>
              </w:tc>
              <w:tc>
                <w:tcPr>
                  <w:tcW w:w="2555" w:type="dxa"/>
                  <w:hideMark/>
                </w:tcPr>
                <w:p w:rsidR="00897BE5" w:rsidRDefault="00897BE5" w:rsidP="00622247">
                  <w:pPr>
                    <w:spacing w:line="276" w:lineRule="auto"/>
                    <w:jc w:val="left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U21 AG </w:t>
                  </w:r>
                </w:p>
              </w:tc>
            </w:tr>
            <w:tr w:rsidR="00897BE5" w:rsidRPr="007D2263" w:rsidTr="00622247">
              <w:tc>
                <w:tcPr>
                  <w:tcW w:w="2155" w:type="dxa"/>
                  <w:hideMark/>
                </w:tcPr>
                <w:p w:rsidR="00897BE5" w:rsidRDefault="00897BE5" w:rsidP="00622247">
                  <w:pPr>
                    <w:jc w:val="left"/>
                    <w:rPr>
                      <w:b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Cs/>
                      <w:sz w:val="22"/>
                      <w:szCs w:val="22"/>
                      <w:lang w:val="en-US" w:eastAsia="en-US"/>
                    </w:rPr>
                    <w:t xml:space="preserve">D28AV </w:t>
                  </w:r>
                </w:p>
                <w:p w:rsidR="00897BE5" w:rsidRDefault="00897BE5" w:rsidP="00622247">
                  <w:pPr>
                    <w:jc w:val="left"/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  <w:t>D48 AVH</w:t>
                  </w:r>
                </w:p>
                <w:p w:rsidR="00897BE5" w:rsidRDefault="00897BE5" w:rsidP="00622247">
                  <w:pPr>
                    <w:jc w:val="left"/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  <w:t>D21A</w:t>
                  </w:r>
                </w:p>
                <w:p w:rsidR="00897BE5" w:rsidRDefault="00897BE5" w:rsidP="00622247">
                  <w:pPr>
                    <w:spacing w:line="276" w:lineRule="auto"/>
                    <w:jc w:val="left"/>
                    <w:rPr>
                      <w:bCs/>
                      <w:sz w:val="22"/>
                      <w:szCs w:val="22"/>
                      <w:highlight w:val="yellow"/>
                      <w:lang w:val="en-US"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  <w:t>D28VG</w:t>
                  </w:r>
                </w:p>
              </w:tc>
              <w:tc>
                <w:tcPr>
                  <w:tcW w:w="1131" w:type="dxa"/>
                </w:tcPr>
                <w:p w:rsidR="00897BE5" w:rsidRDefault="00897BE5" w:rsidP="00622247">
                  <w:pPr>
                    <w:spacing w:line="276" w:lineRule="auto"/>
                    <w:jc w:val="left"/>
                    <w:rPr>
                      <w:bCs/>
                      <w:sz w:val="22"/>
                      <w:szCs w:val="22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2555" w:type="dxa"/>
                  <w:hideMark/>
                </w:tcPr>
                <w:p w:rsidR="00897BE5" w:rsidRDefault="00897BE5" w:rsidP="00622247">
                  <w:pPr>
                    <w:jc w:val="left"/>
                    <w:rPr>
                      <w:b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Cs/>
                      <w:sz w:val="22"/>
                      <w:szCs w:val="22"/>
                      <w:lang w:val="en-US" w:eastAsia="en-US"/>
                    </w:rPr>
                    <w:t xml:space="preserve">U08 AG </w:t>
                  </w:r>
                </w:p>
                <w:p w:rsidR="00897BE5" w:rsidRDefault="00897BE5" w:rsidP="00622247">
                  <w:pPr>
                    <w:jc w:val="left"/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  <w:t>U05AG</w:t>
                  </w:r>
                </w:p>
                <w:p w:rsidR="00897BE5" w:rsidRDefault="00897BE5" w:rsidP="00622247">
                  <w:pPr>
                    <w:jc w:val="left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  <w:t>D 23 X</w:t>
                  </w:r>
                </w:p>
                <w:p w:rsidR="00897BE5" w:rsidRDefault="00897BE5" w:rsidP="00622247">
                  <w:pPr>
                    <w:spacing w:line="276" w:lineRule="auto"/>
                    <w:jc w:val="left"/>
                    <w:rPr>
                      <w:b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  <w:t>U21AG</w:t>
                  </w:r>
                </w:p>
              </w:tc>
            </w:tr>
          </w:tbl>
          <w:p w:rsidR="00897BE5" w:rsidRDefault="00897BE5" w:rsidP="00897BE5">
            <w:pPr>
              <w:numPr>
                <w:ilvl w:val="1"/>
                <w:numId w:val="1"/>
              </w:num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Сыртқы және ішкі блоктардың, жалғаушы құбырлардың жай-күйін ағып кету мәніне тексеру, тоңазытқыш агентін эвакуациялау станциясын пайдалана отырып фреон қалдықтарын эвакуациялау, азотты баллонды редукторды пайдалана отырып, бір мезгілде құрғақ азотпен үрлеп, тасымалды оттекті-пропан бекетін пайдалана отырып, мыс құбырларды дәнекерлеп дәнекерлеу.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1.2. Баллонды редукторды пайдалана отырып, құрғақ  Үлкен жұмыс қысымдары үшін баллон редукторды пайдалана отырып, жоғары қысыммен құрғақ азотпен бітеулілікке (баспақтау) тексеру.       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  1.3. Толық құрғағанға дейін вакуумдық сорғыны пайдалана отырып,  зақымданған контурдан ауа қалдықтарын жою.      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1.4. Май сорғысын пайдалана отырып,  компрессор майын ауыстыруды жүргізу.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1.5. Вакуум тереңдігінің мәнін өлшеу.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1.6. Электрондық таразылар бойынша R407C, R410A, R22 тоңазытқыш агенттерін толтыру және үстеп құю. 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1.7. Термокеңейткіш вентильдің жұмысын тексеру. 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1.8. Сүзгіге дейінгі және кейінгі температураны өлшей отырып,   сүзгіш-кептіргіштердің жұмысын тексеру. 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1.9. Жанып кеткен компрессорларды ауыстыру бойынша іс-шаралар, оның ішінде: оны монтаждау және демонтаждау, азот баллонды редукторды пайдалана отырып, бір мезгілде құрғақ азотпен үрлей отырып, оттегі-пропан бекетін пайдалана отырып, компрессордың құбыржолына қосылатын келте құбырларын дәнекерлеп дәнекерлеу.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1.10. Газдардың үлкен жұмыс қысымдары үшін баллон редукторды пайдалана отырып, құрғақ азотпен қысыммен «баспақтаумен» бітеулілікке тексеру. 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lastRenderedPageBreak/>
              <w:t>1.11. Толық құрғату үшін вакуумдық сорғыны пайдалана отырып, жөнделген контурдан ауа қалдықтарын алып тастау, вакуум тереңдігінің мәнін өлшеу.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1.12. Сүзгі-кептіргіштерді,  сұйықтық бөлгіштерді, қышқылға қарсы сүзгілерді ауыстыру.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1.13. Тасымалданатаны бу генераторын пайдалана отырып, жиналған бактериялар мен жағымсыз иістерді жоб үшін жылу алмастырғыш пен  буландырғыш желдеткішінің қалақты аспабын ыстық су буының қысымымен дезинфекциялау.  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1.14. Сыртқы конденсаторларды паркингтің барлық аумағы бойынша тазарту құралын бастапқы жағумен және кейіннен таза сумен жуумен судың жоғары қысымды аппаратын пайдалана отырып жуу.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1.15. Сыртқы конденсаторлар желдеткіштерін дірілге тексеру, конденсатор желдеткішінің мойынтірегін ауыстыру.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1.16. Май инжекторын пайдалана отырып, тексеру және талдау үшін қажетті май көлемін алу. май сорғысын пайдаланып майды ауыстыру және үстеп құю. 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1.17. Кондиционерді автоматты басқару жүйесін, онымен байланысты жарықдиодтарды, апаттық дабылдарды, датчиктерді, контроллерлерді тексеру, барлық электр қосылыстары мен сақтандыру тізбектерін тексеру.  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1.18. Электр коммутациялық аппаратураны тексеру.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1.19. Тұтынылатын қуатты, температураны, шу деңгейін өлшеу арқылы компрессорды жұмыс қабілеттілігіне тексеру. 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1.20. Жабдық жұмысының барлықЖабдықтың барлық жұмыс режимдерін тексеру.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1.21. апаттық жағдайларды жою бойынша іс-шараларды дайындау, себептерін талдау және тексеру.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Жоғарыда аталған барлық жұмыстар қажет болған жағдайда орындалады.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2. Техникалық қызмет көрсету регламенті:</w:t>
            </w:r>
          </w:p>
          <w:p w:rsidR="00897BE5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2.1. Жабдықты бақылау және сервистік қызмет көрсету үшін мамандардың қатысуы көрсетілген қызметтер кезеңінде айына  кем дегенде төрт рет жүзеге асырылады. Апаттар және жабдықтар істен шыққан жағдайда, мамандардың хабарлама алған сәттен 1 (бір) сағат ішінде тәуліктің кез келген уақытында объектіге келуі.</w:t>
            </w:r>
          </w:p>
          <w:p w:rsidR="00897BE5" w:rsidRPr="003333F4" w:rsidRDefault="00897BE5" w:rsidP="0062224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2.2. Осы ерекшелікте көрсетілген жабдықтың сапалы жұмысқа қабілеттілігін техникалық қызмет көрсету, қолдау, қалпына келтіру, құралдың талаптарына сәйкес көрсетілген жұмыстарды іске асыру үшін барлық қажетті құралдармен жабдықталған өнім берушінің жұмыскерлерімен жүргізіледі. </w:t>
            </w:r>
            <w:r w:rsidRPr="00F54A11">
              <w:rPr>
                <w:bCs/>
                <w:color w:val="auto"/>
                <w:sz w:val="22"/>
                <w:szCs w:val="22"/>
                <w:lang w:val="kk-KZ"/>
              </w:rPr>
              <w:t>Д</w:t>
            </w:r>
            <w:r>
              <w:rPr>
                <w:bCs/>
                <w:color w:val="auto"/>
                <w:sz w:val="22"/>
                <w:szCs w:val="22"/>
                <w:lang w:val="kk-KZ"/>
              </w:rPr>
              <w:t>әлмке-д</w:t>
            </w:r>
            <w:r w:rsidRPr="00F54A11">
              <w:rPr>
                <w:bCs/>
                <w:color w:val="auto"/>
                <w:sz w:val="22"/>
                <w:szCs w:val="22"/>
                <w:lang w:val="kk-KZ"/>
              </w:rPr>
              <w:t>әл кондиционерлерге қызмет көрсетуге байланысты барлық профилактикалық, жө</w:t>
            </w:r>
            <w:r>
              <w:rPr>
                <w:bCs/>
                <w:color w:val="auto"/>
                <w:sz w:val="22"/>
                <w:szCs w:val="22"/>
                <w:lang w:val="kk-KZ"/>
              </w:rPr>
              <w:t>ндеу және монтаждау жұмыстарын Ө</w:t>
            </w:r>
            <w:r w:rsidRPr="00F54A11">
              <w:rPr>
                <w:bCs/>
                <w:color w:val="auto"/>
                <w:sz w:val="22"/>
                <w:szCs w:val="22"/>
                <w:lang w:val="kk-KZ"/>
              </w:rPr>
              <w:t>нім беруші Тапсырыс берушінің келісімі бойынша жүзеге асырады.</w:t>
            </w: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7524">
              <w:rPr>
                <w:bCs/>
                <w:color w:val="auto"/>
                <w:sz w:val="22"/>
                <w:szCs w:val="22"/>
                <w:lang w:val="kk-KZ"/>
              </w:rPr>
              <w:t xml:space="preserve">Жинақтаушы қосалқы бөлшектер, электр коммутациялық аппаратуралар мен шығыс материалдары істен шыққан кезде оларды сатып алу әрбір жеке жағдайда олардың құны қызмет </w:t>
            </w:r>
            <w:r w:rsidRPr="00837524">
              <w:rPr>
                <w:bCs/>
                <w:color w:val="auto"/>
                <w:sz w:val="22"/>
                <w:szCs w:val="22"/>
                <w:lang w:val="kk-KZ"/>
              </w:rPr>
              <w:lastRenderedPageBreak/>
              <w:t>көрсету құн</w:t>
            </w:r>
            <w:r>
              <w:rPr>
                <w:bCs/>
                <w:color w:val="auto"/>
                <w:sz w:val="22"/>
                <w:szCs w:val="22"/>
                <w:lang w:val="kk-KZ"/>
              </w:rPr>
              <w:t>ынан 5% - дан аспаған жағдайда Ө</w:t>
            </w:r>
            <w:r w:rsidRPr="00837524">
              <w:rPr>
                <w:bCs/>
                <w:color w:val="auto"/>
                <w:sz w:val="22"/>
                <w:szCs w:val="22"/>
                <w:lang w:val="kk-KZ"/>
              </w:rPr>
              <w:t>нім берушінің есебінен жүзеге асырылады.</w:t>
            </w:r>
            <w:r w:rsidRPr="00C93E98">
              <w:rPr>
                <w:bCs/>
                <w:color w:val="auto"/>
                <w:sz w:val="22"/>
                <w:szCs w:val="22"/>
                <w:lang w:val="kk-KZ"/>
              </w:rPr>
              <w:t>.</w:t>
            </w:r>
          </w:p>
        </w:tc>
      </w:tr>
      <w:tr w:rsidR="00897BE5" w:rsidRPr="007D2263" w:rsidTr="00622247">
        <w:tc>
          <w:tcPr>
            <w:tcW w:w="425" w:type="dxa"/>
          </w:tcPr>
          <w:p w:rsidR="00897BE5" w:rsidRDefault="00897BE5" w:rsidP="00622247">
            <w:r>
              <w:lastRenderedPageBreak/>
              <w:t>4</w:t>
            </w:r>
          </w:p>
        </w:tc>
        <w:tc>
          <w:tcPr>
            <w:tcW w:w="3545" w:type="dxa"/>
          </w:tcPr>
          <w:p w:rsidR="00897BE5" w:rsidRPr="00327F5E" w:rsidRDefault="00897BE5" w:rsidP="00622247">
            <w:pPr>
              <w:rPr>
                <w:sz w:val="22"/>
                <w:szCs w:val="22"/>
              </w:rPr>
            </w:pPr>
            <w:proofErr w:type="spellStart"/>
            <w:r w:rsidRPr="00327F5E">
              <w:rPr>
                <w:sz w:val="22"/>
                <w:szCs w:val="22"/>
              </w:rPr>
              <w:t>Орындаушы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жеңімпаз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деп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анықталған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жағдайда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әлеуетті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өнім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берушіге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қойылатын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талаптар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және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онымен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мемлекеттік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сатып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алу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туралы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шарт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жасасу</w:t>
            </w:r>
            <w:proofErr w:type="spellEnd"/>
            <w:r w:rsidRPr="00327F5E">
              <w:rPr>
                <w:sz w:val="22"/>
                <w:szCs w:val="22"/>
              </w:rPr>
              <w:t xml:space="preserve"> (</w:t>
            </w:r>
            <w:proofErr w:type="spellStart"/>
            <w:r w:rsidRPr="00327F5E">
              <w:rPr>
                <w:sz w:val="22"/>
                <w:szCs w:val="22"/>
              </w:rPr>
              <w:t>қажет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болған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жағдайда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көрсетіледі</w:t>
            </w:r>
            <w:proofErr w:type="spellEnd"/>
            <w:r w:rsidRPr="00327F5E">
              <w:rPr>
                <w:sz w:val="22"/>
                <w:szCs w:val="22"/>
              </w:rPr>
              <w:t>) (</w:t>
            </w:r>
            <w:proofErr w:type="spellStart"/>
            <w:r w:rsidRPr="00327F5E">
              <w:rPr>
                <w:sz w:val="22"/>
                <w:szCs w:val="22"/>
              </w:rPr>
              <w:t>Әлеуетті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өнім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берушіні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көрсетілген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мәліметтерді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көрсетпегені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немесе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бермегені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үшін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қабылдамауға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жол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берілмейді</w:t>
            </w:r>
            <w:proofErr w:type="spellEnd"/>
            <w:r w:rsidRPr="00327F5E">
              <w:rPr>
                <w:sz w:val="22"/>
                <w:szCs w:val="22"/>
              </w:rPr>
              <w:t>)</w:t>
            </w:r>
          </w:p>
        </w:tc>
        <w:tc>
          <w:tcPr>
            <w:tcW w:w="6379" w:type="dxa"/>
          </w:tcPr>
          <w:p w:rsidR="00897BE5" w:rsidRPr="00837524" w:rsidRDefault="00897BE5" w:rsidP="00622247">
            <w:pPr>
              <w:jc w:val="left"/>
              <w:rPr>
                <w:bCs/>
                <w:sz w:val="22"/>
                <w:szCs w:val="22"/>
                <w:lang w:val="kk-KZ"/>
              </w:rPr>
            </w:pPr>
            <w:r w:rsidRPr="00837524">
              <w:rPr>
                <w:bCs/>
                <w:sz w:val="22"/>
                <w:szCs w:val="22"/>
                <w:lang w:val="kk-KZ"/>
              </w:rPr>
              <w:t>Қызмет көрсетілетін жабдықтың уақытылы емес және сапасыз дайындығы себебі бойынша қайбір ғимаратқа, жабдыққа, мүлікке залал келтірген жағдайда, Өнім беруші толық материалдық жауапкершілікте болады, барлық шығындарды  100 (жүз) пайыз өтеу керек.</w:t>
            </w:r>
          </w:p>
          <w:p w:rsidR="00897BE5" w:rsidRPr="00837524" w:rsidRDefault="00897BE5" w:rsidP="00622247">
            <w:pPr>
              <w:jc w:val="left"/>
              <w:rPr>
                <w:bCs/>
                <w:sz w:val="22"/>
                <w:szCs w:val="22"/>
                <w:lang w:val="kk-KZ"/>
              </w:rPr>
            </w:pPr>
            <w:r w:rsidRPr="00837524">
              <w:rPr>
                <w:bCs/>
                <w:sz w:val="22"/>
                <w:szCs w:val="22"/>
                <w:lang w:val="kk-KZ"/>
              </w:rPr>
              <w:t>Қауіпсіздік техникасын сақтау: қысымда, электрқауіпсіздігі, өрт қауіпсіздігі, жұмыстарды биіктікте жүргізу кезінде жабдықты пайдалану кезінде өндірістік қауіпсіздік саласында.</w:t>
            </w:r>
          </w:p>
        </w:tc>
      </w:tr>
    </w:tbl>
    <w:p w:rsidR="00897BE5" w:rsidRPr="00837524" w:rsidRDefault="00897BE5" w:rsidP="00897BE5">
      <w:pPr>
        <w:rPr>
          <w:lang w:val="kk-KZ"/>
        </w:rPr>
      </w:pPr>
    </w:p>
    <w:p w:rsidR="00897BE5" w:rsidRPr="00567AA4" w:rsidRDefault="00897BE5" w:rsidP="00897BE5">
      <w:pPr>
        <w:rPr>
          <w:lang w:val="kk-KZ"/>
        </w:rPr>
      </w:pPr>
    </w:p>
    <w:p w:rsidR="007F1C17" w:rsidRPr="00897BE5" w:rsidRDefault="007F1C17">
      <w:pPr>
        <w:rPr>
          <w:lang w:val="kk-KZ"/>
        </w:rPr>
      </w:pPr>
    </w:p>
    <w:sectPr w:rsidR="007F1C17" w:rsidRPr="00897BE5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64C7C"/>
    <w:multiLevelType w:val="multilevel"/>
    <w:tmpl w:val="F8B4A25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E5"/>
    <w:rsid w:val="007F1C17"/>
    <w:rsid w:val="0089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63077-17F6-43AF-9BF0-68262978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BE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BE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2023-02-16T09:16:00Z</dcterms:created>
  <dcterms:modified xsi:type="dcterms:W3CDTF">2023-02-16T09:16:00Z</dcterms:modified>
</cp:coreProperties>
</file>