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6B" w:rsidRDefault="003B5C6B" w:rsidP="003B5C6B">
      <w:pPr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  <w:r>
        <w:rPr>
          <w:rFonts w:ascii="Times New Roman" w:hAnsi="Times New Roman" w:cs="Times New Roman"/>
          <w:b/>
          <w:sz w:val="22"/>
          <w:szCs w:val="22"/>
          <w:lang w:val="kk-KZ"/>
        </w:rPr>
        <w:t>Студиялық перде Е</w:t>
      </w:r>
      <w:r w:rsidRPr="00F60046">
        <w:rPr>
          <w:rFonts w:ascii="Times New Roman" w:hAnsi="Times New Roman" w:cs="Times New Roman"/>
          <w:b/>
          <w:sz w:val="22"/>
          <w:szCs w:val="22"/>
          <w:lang w:val="kk-KZ"/>
        </w:rPr>
        <w:t>ні - 14,68 м және ұзындығы - 9,75 м</w:t>
      </w:r>
    </w:p>
    <w:p w:rsidR="003B5C6B" w:rsidRDefault="003B5C6B" w:rsidP="003B5C6B">
      <w:pPr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  <w:r>
        <w:rPr>
          <w:rFonts w:ascii="Times New Roman" w:hAnsi="Times New Roman" w:cs="Times New Roman"/>
          <w:b/>
          <w:sz w:val="22"/>
          <w:szCs w:val="22"/>
          <w:lang w:val="kk-KZ"/>
        </w:rPr>
        <w:t xml:space="preserve">мемлекеттік сатып алу бойынша </w:t>
      </w:r>
    </w:p>
    <w:p w:rsidR="003B5C6B" w:rsidRPr="004A60A0" w:rsidRDefault="003B5C6B" w:rsidP="003B5C6B">
      <w:pPr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FE38CA">
        <w:rPr>
          <w:rFonts w:ascii="Times New Roman" w:hAnsi="Times New Roman" w:cs="Times New Roman"/>
          <w:b/>
          <w:sz w:val="22"/>
          <w:szCs w:val="22"/>
          <w:lang w:val="kk-KZ"/>
        </w:rPr>
        <w:t>ТЕХНИКАЛЫҚ ЕРЕКШЕЛІГІ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b/>
                <w:sz w:val="22"/>
                <w:szCs w:val="22"/>
              </w:rPr>
              <w:t>Бө</w:t>
            </w:r>
            <w:proofErr w:type="gramStart"/>
            <w:r w:rsidRPr="00655E9A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proofErr w:type="gramEnd"/>
            <w:r w:rsidRPr="00655E9A">
              <w:rPr>
                <w:rFonts w:ascii="Times New Roman" w:hAnsi="Times New Roman" w:cs="Times New Roman"/>
                <w:b/>
                <w:sz w:val="22"/>
                <w:szCs w:val="22"/>
              </w:rPr>
              <w:t>імі</w:t>
            </w:r>
            <w:proofErr w:type="spellEnd"/>
          </w:p>
        </w:tc>
        <w:tc>
          <w:tcPr>
            <w:tcW w:w="6379" w:type="dxa"/>
          </w:tcPr>
          <w:p w:rsidR="003B5C6B" w:rsidRPr="00655E9A" w:rsidRDefault="003B5C6B" w:rsidP="00CA668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proofErr w:type="spellStart"/>
            <w:r w:rsidRPr="00655E9A">
              <w:rPr>
                <w:rFonts w:ascii="Times New Roman" w:hAnsi="Times New Roman" w:cs="Times New Roman"/>
                <w:b/>
                <w:sz w:val="22"/>
                <w:szCs w:val="22"/>
              </w:rPr>
              <w:t>Талаптар</w:t>
            </w:r>
            <w:proofErr w:type="spellEnd"/>
            <w:r w:rsidRPr="00655E9A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ы</w:t>
            </w:r>
          </w:p>
        </w:tc>
      </w:tr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Тауардың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3B5C6B" w:rsidRPr="004A60A0" w:rsidRDefault="003B5C6B" w:rsidP="00CA668F">
            <w:pPr>
              <w:tabs>
                <w:tab w:val="left" w:pos="1455"/>
              </w:tabs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Студиялық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перде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ні</w:t>
            </w:r>
            <w:proofErr w:type="spellEnd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- 14,68 </w:t>
            </w:r>
            <w:proofErr w:type="gramStart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м </w:t>
            </w:r>
            <w:proofErr w:type="spellStart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ж</w:t>
            </w:r>
            <w:proofErr w:type="gramEnd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әне</w:t>
            </w:r>
            <w:proofErr w:type="spellEnd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ұзындығы</w:t>
            </w:r>
            <w:proofErr w:type="spellEnd"/>
            <w:r w:rsidRPr="00F60046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- 9,75 м</w:t>
            </w:r>
            <w:bookmarkEnd w:id="0"/>
          </w:p>
        </w:tc>
      </w:tr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Сатып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алынатын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тауарларға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ұлттық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стандарттардың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ал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олар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болмаған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жағдайда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мемлекетаралық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стандарттардың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атауы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Ұлттық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және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мемлекетаралық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стандарттар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болмаған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кезде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мемлекеттік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сатып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алуды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нормалау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ескеріле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отырып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сатып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алынатын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тауарлардың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талап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етілетін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функционалдық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техникалық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сапалық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және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пайдаланушылық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сипаттамалары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көрсетіледі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3B5C6B" w:rsidRPr="00E30028" w:rsidRDefault="003B5C6B" w:rsidP="00CA668F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Қарастырылмаған</w:t>
            </w:r>
          </w:p>
        </w:tc>
      </w:tr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Шыққан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3B5C6B" w:rsidRPr="005414D2" w:rsidRDefault="003B5C6B" w:rsidP="00CA668F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2020 жылдан ерте емес</w:t>
            </w:r>
          </w:p>
        </w:tc>
      </w:tr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Кепілді</w:t>
            </w:r>
            <w:proofErr w:type="gram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мерз</w:t>
            </w:r>
            <w:proofErr w:type="gram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імі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айлар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3B5C6B" w:rsidRPr="005414D2" w:rsidRDefault="003B5C6B" w:rsidP="00CA668F">
            <w:pP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  <w:t>12 айдан кем емес</w:t>
            </w:r>
          </w:p>
        </w:tc>
      </w:tr>
      <w:tr w:rsidR="003B5C6B" w:rsidRPr="003B5C6B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Сатып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алынатын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тауарлардың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қажетті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функционалдық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техникалық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сапалық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өнімділігі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мен </w:t>
            </w:r>
            <w:proofErr w:type="spellStart"/>
            <w:proofErr w:type="gram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бас</w:t>
            </w:r>
            <w:proofErr w:type="gram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да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сипаттамаларының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3B5C6B" w:rsidRPr="00FE38CA" w:rsidRDefault="003B5C6B" w:rsidP="00CA66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E38CA">
              <w:rPr>
                <w:rFonts w:ascii="Times New Roman" w:hAnsi="Times New Roman" w:cs="Times New Roman"/>
                <w:lang w:val="kk-KZ"/>
              </w:rPr>
              <w:t xml:space="preserve">Материалдың құрамы 100% мақта, </w:t>
            </w:r>
          </w:p>
          <w:p w:rsidR="003B5C6B" w:rsidRPr="00FE38CA" w:rsidRDefault="003B5C6B" w:rsidP="00CA66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E38CA">
              <w:rPr>
                <w:rFonts w:ascii="Times New Roman" w:hAnsi="Times New Roman" w:cs="Times New Roman"/>
                <w:lang w:val="kk-KZ"/>
              </w:rPr>
              <w:t>Түсі: көмір-қара түсті</w:t>
            </w:r>
          </w:p>
          <w:p w:rsidR="003B5C6B" w:rsidRPr="00FE38CA" w:rsidRDefault="003B5C6B" w:rsidP="00CA66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E38CA">
              <w:rPr>
                <w:rFonts w:ascii="Times New Roman" w:hAnsi="Times New Roman" w:cs="Times New Roman"/>
                <w:lang w:val="kk-KZ"/>
              </w:rPr>
              <w:t xml:space="preserve">Ені: 302 см артық емес және кемінде 299 см, салмағы 325 г/м² кем емес, DIN 4102 B1 және EN 13501-1 C-s1,d0 отқа төзімділік стандартына сәйкес болуына тиіс. </w:t>
            </w:r>
          </w:p>
          <w:p w:rsidR="003B5C6B" w:rsidRPr="00FE38CA" w:rsidRDefault="003B5C6B" w:rsidP="00CA66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E38CA">
              <w:rPr>
                <w:rFonts w:ascii="Times New Roman" w:hAnsi="Times New Roman" w:cs="Times New Roman"/>
                <w:lang w:val="kk-KZ"/>
              </w:rPr>
              <w:t xml:space="preserve">Әрбір перденің өлшемдері: ені 14,68 м кем емес және биіктігі 9,75 м кем емес; </w:t>
            </w:r>
          </w:p>
          <w:p w:rsidR="003B5C6B" w:rsidRPr="00FE38CA" w:rsidRDefault="003B5C6B" w:rsidP="00CA66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E38CA">
              <w:rPr>
                <w:rFonts w:ascii="Times New Roman" w:hAnsi="Times New Roman" w:cs="Times New Roman"/>
                <w:lang w:val="kk-KZ"/>
              </w:rPr>
              <w:t xml:space="preserve">Өңдеу: тігістер тік, үстіңгі жағы әрбір 20 см сайын </w:t>
            </w:r>
            <w:r>
              <w:rPr>
                <w:rFonts w:ascii="Times New Roman" w:hAnsi="Times New Roman" w:cs="Times New Roman"/>
                <w:lang w:val="kk-KZ"/>
              </w:rPr>
              <w:t>тесіктер</w:t>
            </w:r>
            <w:r w:rsidRPr="00FE38CA">
              <w:rPr>
                <w:rFonts w:ascii="Times New Roman" w:hAnsi="Times New Roman" w:cs="Times New Roman"/>
                <w:lang w:val="kk-KZ"/>
              </w:rPr>
              <w:t xml:space="preserve"> бар кем дегенде 5 см </w:t>
            </w:r>
            <w:r>
              <w:rPr>
                <w:rFonts w:ascii="Times New Roman" w:hAnsi="Times New Roman" w:cs="Times New Roman"/>
                <w:lang w:val="kk-KZ"/>
              </w:rPr>
              <w:t>ызба</w:t>
            </w:r>
            <w:r w:rsidRPr="00FE38CA">
              <w:rPr>
                <w:rFonts w:ascii="Times New Roman" w:hAnsi="Times New Roman" w:cs="Times New Roman"/>
                <w:lang w:val="kk-KZ"/>
              </w:rPr>
              <w:t xml:space="preserve">,.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FE38CA">
              <w:rPr>
                <w:rFonts w:ascii="Times New Roman" w:hAnsi="Times New Roman" w:cs="Times New Roman"/>
                <w:lang w:val="kk-KZ"/>
              </w:rPr>
              <w:t xml:space="preserve">айлама жіптері 80 см-ден кем емес. </w:t>
            </w:r>
          </w:p>
          <w:p w:rsidR="003B5C6B" w:rsidRPr="00FE38CA" w:rsidRDefault="003B5C6B" w:rsidP="00CA668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FE38CA">
              <w:rPr>
                <w:rFonts w:ascii="Times New Roman" w:hAnsi="Times New Roman" w:cs="Times New Roman"/>
                <w:lang w:val="kk-KZ"/>
              </w:rPr>
              <w:t xml:space="preserve">Бүйірлері: </w:t>
            </w:r>
            <w:r>
              <w:rPr>
                <w:rFonts w:ascii="Times New Roman" w:hAnsi="Times New Roman" w:cs="Times New Roman"/>
                <w:lang w:val="kk-KZ"/>
              </w:rPr>
              <w:t>жымырылған болуы тиіс</w:t>
            </w:r>
            <w:r w:rsidRPr="00FE38CA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3B5C6B" w:rsidRPr="00E062ED" w:rsidRDefault="003B5C6B" w:rsidP="00CA668F">
            <w:pPr>
              <w:pStyle w:val="a4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Төменгі жағы</w:t>
            </w:r>
            <w:r w:rsidRPr="00FE38CA">
              <w:rPr>
                <w:rFonts w:ascii="Times New Roman" w:hAnsi="Times New Roman" w:cs="Times New Roman"/>
                <w:lang w:val="kk-KZ"/>
              </w:rPr>
              <w:t xml:space="preserve">: кемінде 10 см тігіс, </w:t>
            </w:r>
            <w:r>
              <w:rPr>
                <w:rFonts w:ascii="Times New Roman" w:hAnsi="Times New Roman" w:cs="Times New Roman"/>
                <w:lang w:val="kk-KZ"/>
              </w:rPr>
              <w:t xml:space="preserve">салмағы кемінде 200г/м </w:t>
            </w:r>
            <w:r w:rsidRPr="00FE38CA">
              <w:rPr>
                <w:rFonts w:ascii="Times New Roman" w:hAnsi="Times New Roman" w:cs="Times New Roman"/>
                <w:lang w:val="kk-KZ"/>
              </w:rPr>
              <w:t xml:space="preserve">қорғасын </w:t>
            </w:r>
            <w:r>
              <w:rPr>
                <w:rFonts w:ascii="Times New Roman" w:hAnsi="Times New Roman" w:cs="Times New Roman"/>
                <w:lang w:val="kk-KZ"/>
              </w:rPr>
              <w:t>ауырлатқышымен</w:t>
            </w:r>
            <w:r w:rsidRPr="00FE38CA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Байланысты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қызметтер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қажет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болған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жағдайда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көрсетіледі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монтаждау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іске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қосу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дайындау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тексеру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және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тауарларды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сынау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3B5C6B" w:rsidRPr="00655E9A" w:rsidRDefault="003B5C6B" w:rsidP="00CA668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4092A">
              <w:rPr>
                <w:rFonts w:ascii="Times New Roman" w:eastAsia="Calibri" w:hAnsi="Times New Roman" w:cs="Times New Roman"/>
                <w:sz w:val="22"/>
                <w:szCs w:val="22"/>
              </w:rPr>
              <w:t>Сома</w:t>
            </w:r>
            <w:proofErr w:type="gramEnd"/>
            <w:r w:rsidRPr="0044092A">
              <w:rPr>
                <w:rFonts w:ascii="Times New Roman" w:eastAsia="Calibri" w:hAnsi="Times New Roman" w:cs="Times New Roman"/>
                <w:sz w:val="22"/>
                <w:szCs w:val="22"/>
              </w:rPr>
              <w:t>ға</w:t>
            </w:r>
            <w:proofErr w:type="spellEnd"/>
            <w:r w:rsidRPr="0044092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тауарды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жеткізу</w:t>
            </w:r>
            <w:proofErr w:type="spellEnd"/>
            <w:r w:rsidRPr="0044092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092A">
              <w:rPr>
                <w:rFonts w:ascii="Times New Roman" w:eastAsia="Calibri" w:hAnsi="Times New Roman" w:cs="Times New Roman"/>
                <w:sz w:val="22"/>
                <w:szCs w:val="22"/>
              </w:rPr>
              <w:t>кіреді</w:t>
            </w:r>
            <w:proofErr w:type="spellEnd"/>
            <w:r w:rsidRPr="0044092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3B5C6B" w:rsidRPr="00655E9A" w:rsidTr="00CA668F">
        <w:tc>
          <w:tcPr>
            <w:tcW w:w="42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Орындаушы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жеңімпаз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деп</w:t>
            </w:r>
            <w:proofErr w:type="spellEnd"/>
            <w:proofErr w:type="gram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анықталған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жағдайда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орындаушыға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қойылатын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қосымша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талаптар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және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онымен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мемлекеттік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сатып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алу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туралы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шарт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жасасу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қажет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болған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жағдайда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көрсетіледі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Әлеуетті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өнім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берушіні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көрсетілген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мәліметтерді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көрсетпегені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немесе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бермегені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үшін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қабылдамауға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жол</w:t>
            </w:r>
            <w:proofErr w:type="spellEnd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E9A">
              <w:rPr>
                <w:rFonts w:ascii="Times New Roman" w:hAnsi="Times New Roman" w:cs="Times New Roman"/>
                <w:sz w:val="22"/>
                <w:szCs w:val="22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3B5C6B" w:rsidRPr="00655E9A" w:rsidRDefault="003B5C6B" w:rsidP="00CA668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6070" w:rsidRDefault="00B26070"/>
    <w:sectPr w:rsidR="00B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6B"/>
    <w:rsid w:val="003B5C6B"/>
    <w:rsid w:val="00B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C6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C6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HP Inc.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2022-11-16T04:57:00Z</dcterms:created>
  <dcterms:modified xsi:type="dcterms:W3CDTF">2022-11-16T04:58:00Z</dcterms:modified>
</cp:coreProperties>
</file>