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4F" w:rsidRPr="00B119B6" w:rsidRDefault="00EB674F" w:rsidP="00EB674F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EB674F" w:rsidRPr="00B119B6" w:rsidRDefault="00EB674F" w:rsidP="00EB674F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EB674F" w:rsidRPr="00B119B6" w:rsidTr="0056416C">
        <w:tc>
          <w:tcPr>
            <w:tcW w:w="425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  <w:b/>
              </w:rPr>
            </w:pPr>
            <w:r w:rsidRPr="00B119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EB674F" w:rsidRPr="00B119B6" w:rsidRDefault="00EB674F" w:rsidP="005641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119B6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B119B6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B119B6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EB674F" w:rsidRPr="00B119B6" w:rsidRDefault="00EB674F" w:rsidP="005641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B119B6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B119B6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EB674F" w:rsidRPr="00B119B6" w:rsidTr="0056416C">
        <w:tc>
          <w:tcPr>
            <w:tcW w:w="425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</w:rPr>
            </w:pPr>
            <w:r w:rsidRPr="00B11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19B6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</w:rPr>
            </w:pPr>
            <w:proofErr w:type="spellStart"/>
            <w:r w:rsidRPr="00B83EBB">
              <w:rPr>
                <w:rFonts w:ascii="Times New Roman" w:hAnsi="Times New Roman" w:cs="Times New Roman"/>
              </w:rPr>
              <w:t>Синхрондау</w:t>
            </w:r>
            <w:proofErr w:type="spellEnd"/>
            <w:r w:rsidRPr="00B83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EBB">
              <w:rPr>
                <w:rFonts w:ascii="Times New Roman" w:hAnsi="Times New Roman" w:cs="Times New Roman"/>
              </w:rPr>
              <w:t>сигналын</w:t>
            </w:r>
            <w:proofErr w:type="spellEnd"/>
            <w:r w:rsidRPr="00B83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EBB">
              <w:rPr>
                <w:rFonts w:ascii="Times New Roman" w:hAnsi="Times New Roman" w:cs="Times New Roman"/>
              </w:rPr>
              <w:t>түрлендіру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ді</w:t>
            </w:r>
            <w:r w:rsidRPr="00B83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EBB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B83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EBB">
              <w:rPr>
                <w:rFonts w:ascii="Times New Roman" w:hAnsi="Times New Roman" w:cs="Times New Roman"/>
              </w:rPr>
              <w:t>тақтасы</w:t>
            </w:r>
            <w:proofErr w:type="spellEnd"/>
          </w:p>
        </w:tc>
      </w:tr>
      <w:tr w:rsidR="00EB674F" w:rsidRPr="00B119B6" w:rsidTr="0056416C">
        <w:tc>
          <w:tcPr>
            <w:tcW w:w="425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</w:rPr>
            </w:pPr>
            <w:r w:rsidRPr="00B11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</w:rPr>
            </w:pPr>
            <w:proofErr w:type="spellStart"/>
            <w:r w:rsidRPr="00B119B6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олар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119B6">
              <w:rPr>
                <w:rFonts w:ascii="Times New Roman" w:hAnsi="Times New Roman" w:cs="Times New Roman"/>
              </w:rPr>
              <w:t>тауарлар</w:t>
            </w:r>
            <w:proofErr w:type="gramEnd"/>
            <w:r w:rsidRPr="00B119B6">
              <w:rPr>
                <w:rFonts w:ascii="Times New Roman" w:hAnsi="Times New Roman" w:cs="Times New Roman"/>
              </w:rPr>
              <w:t>ға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және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реттеуді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ескере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және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B119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B674F" w:rsidRPr="007E7C1B" w:rsidRDefault="00EB674F" w:rsidP="0056416C">
            <w:pPr>
              <w:rPr>
                <w:rFonts w:ascii="Times New Roman" w:hAnsi="Times New Roman" w:cs="Times New Roman"/>
              </w:rPr>
            </w:pPr>
            <w:proofErr w:type="spellStart"/>
            <w:r w:rsidRPr="00E279EF">
              <w:rPr>
                <w:rFonts w:ascii="Times New Roman" w:hAnsi="Times New Roman" w:cs="Times New Roman"/>
              </w:rPr>
              <w:t>Қарастырылмаған</w:t>
            </w:r>
            <w:proofErr w:type="spellEnd"/>
          </w:p>
        </w:tc>
      </w:tr>
      <w:tr w:rsidR="00EB674F" w:rsidRPr="00B119B6" w:rsidTr="0056416C">
        <w:tc>
          <w:tcPr>
            <w:tcW w:w="425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</w:rPr>
            </w:pPr>
            <w:r w:rsidRPr="00B11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</w:rPr>
            </w:pPr>
            <w:proofErr w:type="spellStart"/>
            <w:r w:rsidRPr="00B119B6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  <w:lang w:val="en-US"/>
              </w:rPr>
            </w:pPr>
            <w:r w:rsidRPr="00B119B6">
              <w:rPr>
                <w:rFonts w:ascii="Times New Roman" w:hAnsi="Times New Roman" w:cs="Times New Roman"/>
                <w:lang w:val="en-US"/>
              </w:rPr>
              <w:t xml:space="preserve">2021 </w:t>
            </w:r>
            <w:proofErr w:type="spellStart"/>
            <w:r w:rsidRPr="00B119B6">
              <w:rPr>
                <w:rFonts w:ascii="Times New Roman" w:hAnsi="Times New Roman" w:cs="Times New Roman"/>
                <w:lang w:val="en-US"/>
              </w:rPr>
              <w:t>жылдан</w:t>
            </w:r>
            <w:proofErr w:type="spellEnd"/>
            <w:r w:rsidRPr="00B119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  <w:lang w:val="en-US"/>
              </w:rPr>
              <w:t>ерте</w:t>
            </w:r>
            <w:proofErr w:type="spellEnd"/>
            <w:r w:rsidRPr="00B119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  <w:lang w:val="en-US"/>
              </w:rPr>
              <w:t>емес</w:t>
            </w:r>
            <w:proofErr w:type="spellEnd"/>
          </w:p>
        </w:tc>
      </w:tr>
      <w:tr w:rsidR="00EB674F" w:rsidRPr="00B119B6" w:rsidTr="0056416C">
        <w:tc>
          <w:tcPr>
            <w:tcW w:w="425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</w:rPr>
            </w:pPr>
            <w:r w:rsidRPr="00B119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</w:rPr>
            </w:pPr>
            <w:proofErr w:type="spellStart"/>
            <w:r w:rsidRPr="00B119B6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B119B6">
              <w:rPr>
                <w:rFonts w:ascii="Times New Roman" w:hAnsi="Times New Roman" w:cs="Times New Roman"/>
              </w:rPr>
              <w:t>к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мерз</w:t>
            </w:r>
            <w:proofErr w:type="gramEnd"/>
            <w:r w:rsidRPr="00B119B6">
              <w:rPr>
                <w:rFonts w:ascii="Times New Roman" w:hAnsi="Times New Roman" w:cs="Times New Roman"/>
              </w:rPr>
              <w:t>імі</w:t>
            </w:r>
            <w:proofErr w:type="spellEnd"/>
            <w:r w:rsidRPr="00B119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19B6">
              <w:rPr>
                <w:rFonts w:ascii="Times New Roman" w:hAnsi="Times New Roman" w:cs="Times New Roman"/>
              </w:rPr>
              <w:t>(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B119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  <w:lang w:val="en-US"/>
              </w:rPr>
            </w:pPr>
            <w:r w:rsidRPr="00B119B6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EB674F" w:rsidRPr="00EB674F" w:rsidTr="0056416C">
        <w:tc>
          <w:tcPr>
            <w:tcW w:w="425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</w:rPr>
            </w:pPr>
            <w:r w:rsidRPr="00B119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</w:rPr>
            </w:pPr>
            <w:proofErr w:type="spellStart"/>
            <w:r w:rsidRPr="00B119B6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19B6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B119B6">
              <w:rPr>
                <w:rFonts w:ascii="Times New Roman" w:hAnsi="Times New Roman" w:cs="Times New Roman"/>
              </w:rPr>
              <w:t>бас</w:t>
            </w:r>
            <w:proofErr w:type="gramEnd"/>
            <w:r w:rsidRPr="00B119B6">
              <w:rPr>
                <w:rFonts w:ascii="Times New Roman" w:hAnsi="Times New Roman" w:cs="Times New Roman"/>
              </w:rPr>
              <w:t>қа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EB674F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1920B0">
              <w:rPr>
                <w:rFonts w:ascii="Times New Roman" w:hAnsi="Times New Roman" w:cs="Times New Roman"/>
                <w:lang w:val="kk-KZ"/>
              </w:rPr>
              <w:t>Бұл жабдық 7707CVTA таратқышынан талшықты-оптикалық сигналды қабылдайтын және оны аналогтық сигналға түрлендіретін плата болып табылады. Орталық синхрондау сигналын қабылдау және кейіннен барлық сервер бөлмелеріне тарату үшін қолданылады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EB674F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F167CA">
              <w:rPr>
                <w:rFonts w:ascii="Times New Roman" w:hAnsi="Times New Roman" w:cs="Times New Roman"/>
                <w:b/>
                <w:lang w:val="kk-KZ"/>
              </w:rPr>
              <w:t>Оптикалық кіріс: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Оптикалық кірістер саны - кемінде 1;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Коннектор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түрі - </w:t>
            </w:r>
            <w:r>
              <w:rPr>
                <w:rFonts w:ascii="Times New Roman" w:eastAsia="Calibri" w:hAnsi="Times New Roman" w:cs="Times New Roman"/>
                <w:lang w:val="en-US"/>
              </w:rPr>
              <w:t>Female</w:t>
            </w:r>
            <w:r w:rsidRPr="00F167C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167CA">
              <w:rPr>
                <w:rFonts w:ascii="Times New Roman" w:hAnsi="Times New Roman" w:cs="Times New Roman"/>
                <w:lang w:val="kk-KZ"/>
              </w:rPr>
              <w:t>SC/PC;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Жұмыс толқынының ұзындығы – 1270 нм кем емес және 1610 нм артық емес;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Максималды кіріс қуаты - 0 дБ аспайды;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Стандартты оптикалық сезімталдық - -23дБ артық емес;</w:t>
            </w:r>
          </w:p>
          <w:p w:rsidR="00EB674F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Жоғары оптикалық сезімталдық - -28 дБ аспайды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B674F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F167CA">
              <w:rPr>
                <w:rFonts w:ascii="Times New Roman" w:hAnsi="Times New Roman" w:cs="Times New Roman"/>
                <w:b/>
                <w:lang w:val="kk-KZ"/>
              </w:rPr>
              <w:t>Аналогтық бейне шығысы: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b/>
                <w:lang w:val="kk-KZ"/>
              </w:rPr>
              <w:t>Стандартты қолдау: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SMPTE ST 170;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PAL;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NTSC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ITU-R624-4/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Бейне шығыс порттарының саны - кемінде 4;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Коннектор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түрі - BNC;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Жүйелік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өткізу қабілеті - кемінде 5,5 МГц;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Номиналды шығыс деңгейі - 1 В кем емес;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Максималды шығыс деңгейі - 2 В артық емес;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Реттелетін номиналды күшейту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- 50% кем емес және 150% артық емес;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Шығу кедергісі - 74 Ом кем емес және 75 Ом артық емес;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Кері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жоғалтулар - 20 дБ аспайды;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 xml:space="preserve">Сигнал-шу </w:t>
            </w:r>
            <w:r>
              <w:rPr>
                <w:rFonts w:ascii="Times New Roman" w:hAnsi="Times New Roman" w:cs="Times New Roman"/>
                <w:lang w:val="kk-KZ"/>
              </w:rPr>
              <w:t>қатынасы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- 70дБ аспайды;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Дифференциалды күшейту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– 1% кем емес;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Дифференциалды фаза – 0,7% кем емес;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 xml:space="preserve">Өткізу жолағы </w:t>
            </w:r>
            <w:r>
              <w:rPr>
                <w:rFonts w:ascii="Times New Roman" w:hAnsi="Times New Roman" w:cs="Times New Roman"/>
                <w:lang w:val="kk-KZ"/>
              </w:rPr>
              <w:t>лүпілі</w:t>
            </w:r>
            <w:r w:rsidRPr="00F167CA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NTSC стандарты бойынша - кемінде -0,1 дБ және 0,1 дБ артық емес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0A97">
              <w:rPr>
                <w:rFonts w:ascii="Times New Roman" w:hAnsi="Times New Roman" w:cs="Times New Roman"/>
                <w:lang w:val="kk-KZ"/>
              </w:rPr>
              <w:t>кезінде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- 4,1 МГц артық емес, -0,2 дБ кем емес және 0,2 дБ жоғары емес </w:t>
            </w:r>
            <w:r w:rsidRPr="00200A97">
              <w:rPr>
                <w:rFonts w:ascii="Times New Roman" w:hAnsi="Times New Roman" w:cs="Times New Roman"/>
                <w:lang w:val="kk-KZ"/>
              </w:rPr>
              <w:t>кезінде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- 5,5 МГц артық емес;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 xml:space="preserve">PAL стандарты бойынша - кемінде -0,1 дБ және 0,1 дБ артық емес </w:t>
            </w:r>
            <w:r w:rsidRPr="00200A97">
              <w:rPr>
                <w:rFonts w:ascii="Times New Roman" w:hAnsi="Times New Roman" w:cs="Times New Roman"/>
                <w:lang w:val="kk-KZ"/>
              </w:rPr>
              <w:t>кезінде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- 4,8 МГц артық емес, -0,2 дБ кем емес және 0,2 дБ артық емес </w:t>
            </w:r>
            <w:r w:rsidRPr="00200A97">
              <w:rPr>
                <w:rFonts w:ascii="Times New Roman" w:hAnsi="Times New Roman" w:cs="Times New Roman"/>
                <w:lang w:val="kk-KZ"/>
              </w:rPr>
              <w:t>кезінде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- 5,8 МГц артық емес;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Түстілікті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/жарықтықты </w:t>
            </w:r>
            <w:r>
              <w:rPr>
                <w:rFonts w:ascii="Times New Roman" w:hAnsi="Times New Roman" w:cs="Times New Roman"/>
                <w:lang w:val="kk-KZ"/>
              </w:rPr>
              <w:t>күшейту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– 98% кем емес және 103% артық емес;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Түстілік/жарықтық </w:t>
            </w:r>
            <w:r w:rsidRPr="00F167CA">
              <w:rPr>
                <w:rFonts w:ascii="Times New Roman" w:hAnsi="Times New Roman" w:cs="Times New Roman"/>
                <w:lang w:val="kk-KZ"/>
              </w:rPr>
              <w:t>кідірісі: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N</w:t>
            </w:r>
            <w:r>
              <w:rPr>
                <w:rFonts w:ascii="Times New Roman" w:hAnsi="Times New Roman" w:cs="Times New Roman"/>
                <w:lang w:val="kk-KZ"/>
              </w:rPr>
              <w:t>TSC стандарты бойынша</w:t>
            </w:r>
            <w:r w:rsidRPr="00F167CA">
              <w:rPr>
                <w:rFonts w:ascii="Times New Roman" w:hAnsi="Times New Roman" w:cs="Times New Roman"/>
                <w:lang w:val="kk-KZ"/>
              </w:rPr>
              <w:t xml:space="preserve"> - кемінде 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167CA">
              <w:rPr>
                <w:rFonts w:ascii="Times New Roman" w:hAnsi="Times New Roman" w:cs="Times New Roman"/>
                <w:lang w:val="kk-KZ"/>
              </w:rPr>
              <w:t>нс;</w:t>
            </w:r>
          </w:p>
          <w:p w:rsidR="00EB674F" w:rsidRPr="00F167C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PAL стандарты бойынша - кемінде 12 нс;</w:t>
            </w:r>
          </w:p>
          <w:p w:rsidR="00EB674F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167CA">
              <w:rPr>
                <w:rFonts w:ascii="Times New Roman" w:hAnsi="Times New Roman" w:cs="Times New Roman"/>
                <w:lang w:val="kk-KZ"/>
              </w:rPr>
              <w:t>Желілік уақыттың бұрмалануы – кемінде 1,1% және 1,3% көп емес.</w:t>
            </w:r>
          </w:p>
          <w:p w:rsidR="00EB674F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B674F" w:rsidRPr="00200A97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200A97">
              <w:rPr>
                <w:rFonts w:ascii="Times New Roman" w:hAnsi="Times New Roman" w:cs="Times New Roman"/>
                <w:b/>
                <w:lang w:val="kk-KZ"/>
              </w:rPr>
              <w:t>Аналогтық аудио шығысы:</w:t>
            </w:r>
          </w:p>
          <w:p w:rsidR="00EB674F" w:rsidRPr="00200A97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00A97">
              <w:rPr>
                <w:rFonts w:ascii="Times New Roman" w:hAnsi="Times New Roman" w:cs="Times New Roman"/>
                <w:lang w:val="kk-KZ"/>
              </w:rPr>
              <w:t>Аудио шығыс порттарының саны - кемінде 16;</w:t>
            </w:r>
          </w:p>
          <w:p w:rsidR="00EB674F" w:rsidRPr="00200A97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00A97">
              <w:rPr>
                <w:rFonts w:ascii="Times New Roman" w:hAnsi="Times New Roman" w:cs="Times New Roman"/>
                <w:lang w:val="kk-KZ"/>
              </w:rPr>
              <w:t>Конн</w:t>
            </w:r>
            <w:r>
              <w:rPr>
                <w:rFonts w:ascii="Times New Roman" w:hAnsi="Times New Roman" w:cs="Times New Roman"/>
                <w:lang w:val="kk-KZ"/>
              </w:rPr>
              <w:t>ектор түрі - кемінде 48 пинді</w:t>
            </w:r>
            <w:r w:rsidRPr="00200A97">
              <w:rPr>
                <w:rFonts w:ascii="Times New Roman" w:hAnsi="Times New Roman" w:cs="Times New Roman"/>
                <w:lang w:val="kk-KZ"/>
              </w:rPr>
              <w:t xml:space="preserve"> алынбалы </w:t>
            </w:r>
            <w:r>
              <w:rPr>
                <w:rFonts w:ascii="Times New Roman" w:hAnsi="Times New Roman" w:cs="Times New Roman"/>
                <w:lang w:val="kk-KZ"/>
              </w:rPr>
              <w:t>ұстатқыш қалып</w:t>
            </w:r>
            <w:r w:rsidRPr="00200A9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B674F" w:rsidRPr="00200A97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00A97">
              <w:rPr>
                <w:rFonts w:ascii="Times New Roman" w:hAnsi="Times New Roman" w:cs="Times New Roman"/>
                <w:lang w:val="kk-KZ"/>
              </w:rPr>
              <w:t>Шығу кедергісі - 66 Ом кем емес және 67 Ом артық емес;</w:t>
            </w:r>
          </w:p>
          <w:p w:rsidR="00EB674F" w:rsidRPr="00200A97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00A97">
              <w:rPr>
                <w:rFonts w:ascii="Times New Roman" w:hAnsi="Times New Roman" w:cs="Times New Roman"/>
                <w:lang w:val="kk-KZ"/>
              </w:rPr>
              <w:t>Жауап беру жиілігі - кемінде</w:t>
            </w:r>
            <w:r>
              <w:rPr>
                <w:rFonts w:ascii="Times New Roman" w:hAnsi="Times New Roman" w:cs="Times New Roman"/>
                <w:lang w:val="kk-KZ"/>
              </w:rPr>
              <w:t xml:space="preserve"> -0,1 дБ және 0,1 дБ артық емес </w:t>
            </w:r>
            <w:r w:rsidRPr="00200A97">
              <w:rPr>
                <w:rFonts w:ascii="Times New Roman" w:hAnsi="Times New Roman" w:cs="Times New Roman"/>
                <w:lang w:val="kk-KZ"/>
              </w:rPr>
              <w:t>кезінде 20 Гц-тен кем емес және 20 кГц-ден көп емес;</w:t>
            </w:r>
          </w:p>
          <w:p w:rsidR="00EB674F" w:rsidRPr="00200A97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Бейсызықтық </w:t>
            </w:r>
            <w:r w:rsidRPr="00200A97">
              <w:rPr>
                <w:rFonts w:ascii="Times New Roman" w:hAnsi="Times New Roman" w:cs="Times New Roman"/>
                <w:lang w:val="kk-KZ"/>
              </w:rPr>
              <w:t>бұрмалану коэффициенті – кемін</w:t>
            </w:r>
            <w:r>
              <w:rPr>
                <w:rFonts w:ascii="Times New Roman" w:hAnsi="Times New Roman" w:cs="Times New Roman"/>
                <w:lang w:val="kk-KZ"/>
              </w:rPr>
              <w:t>де 20Гц және 20кГц-тен көп емес кезде,</w:t>
            </w:r>
            <w:r w:rsidRPr="00200A97">
              <w:rPr>
                <w:rFonts w:ascii="Times New Roman" w:hAnsi="Times New Roman" w:cs="Times New Roman"/>
                <w:lang w:val="kk-KZ"/>
              </w:rPr>
              <w:t xml:space="preserve"> 0,0005% кем емес;</w:t>
            </w:r>
          </w:p>
          <w:p w:rsidR="00EB674F" w:rsidRPr="00200A97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Фазалар арнасының</w:t>
            </w:r>
            <w:r w:rsidRPr="00200A97">
              <w:rPr>
                <w:rFonts w:ascii="Times New Roman" w:hAnsi="Times New Roman" w:cs="Times New Roman"/>
                <w:lang w:val="kk-KZ"/>
              </w:rPr>
              <w:t xml:space="preserve"> айырмашылығы -1 градустан кем емес және +1 градустан аспайды;</w:t>
            </w:r>
          </w:p>
          <w:p w:rsidR="00EB674F" w:rsidRPr="00200A97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Салмақталған сигнал-шу</w:t>
            </w:r>
            <w:r w:rsidRPr="00200A97">
              <w:rPr>
                <w:rFonts w:ascii="Times New Roman" w:hAnsi="Times New Roman" w:cs="Times New Roman"/>
                <w:lang w:val="kk-KZ"/>
              </w:rPr>
              <w:t xml:space="preserve"> қатынасы - 85 дБ аспайды;</w:t>
            </w:r>
          </w:p>
          <w:p w:rsidR="00EB674F" w:rsidRPr="00200A97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00A97">
              <w:rPr>
                <w:rFonts w:ascii="Times New Roman" w:hAnsi="Times New Roman" w:cs="Times New Roman"/>
                <w:lang w:val="kk-KZ"/>
              </w:rPr>
              <w:t>Реттелетін шығыс деңгейі - -20 дБ кем емес және 3 дБ артық емес;</w:t>
            </w:r>
          </w:p>
          <w:p w:rsidR="00EB674F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200A97">
              <w:rPr>
                <w:rFonts w:ascii="Times New Roman" w:hAnsi="Times New Roman" w:cs="Times New Roman"/>
                <w:lang w:val="kk-KZ"/>
              </w:rPr>
              <w:t>Максималды шығыс деңгейі 10 кОм артық емес жүктеме кезінде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0A97">
              <w:rPr>
                <w:rFonts w:ascii="Times New Roman" w:hAnsi="Times New Roman" w:cs="Times New Roman"/>
                <w:lang w:val="kk-KZ"/>
              </w:rPr>
              <w:t>23 дБ кем емес және 25 дБ артық емес.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B674F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B674F" w:rsidRPr="008709B4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8709B4">
              <w:rPr>
                <w:rFonts w:ascii="Times New Roman" w:hAnsi="Times New Roman" w:cs="Times New Roman"/>
                <w:b/>
                <w:lang w:val="kk-KZ"/>
              </w:rPr>
              <w:t>Электрлік сипаттамалары:</w:t>
            </w:r>
          </w:p>
          <w:p w:rsidR="00EB674F" w:rsidRPr="008709B4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 xml:space="preserve">Кернеу: </w:t>
            </w:r>
            <w:r>
              <w:rPr>
                <w:rFonts w:ascii="Times New Roman" w:hAnsi="Times New Roman" w:cs="Times New Roman"/>
                <w:lang w:val="kk-KZ"/>
              </w:rPr>
              <w:t>тұрақты тоқтың</w:t>
            </w:r>
            <w:r w:rsidRPr="008709B4">
              <w:rPr>
                <w:rFonts w:ascii="Times New Roman" w:hAnsi="Times New Roman" w:cs="Times New Roman"/>
                <w:lang w:val="kk-KZ"/>
              </w:rPr>
              <w:t xml:space="preserve"> кемінде 11 В және 13 В жоғары емес;</w:t>
            </w:r>
          </w:p>
          <w:p w:rsidR="00EB674F" w:rsidRPr="008709B4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>Жиілік: 50-ден кем емес және 60 Гц-тен көп емес;</w:t>
            </w:r>
          </w:p>
          <w:p w:rsidR="00EB674F" w:rsidRPr="008709B4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Тұтыну қуаты</w:t>
            </w:r>
            <w:r w:rsidRPr="008709B4">
              <w:rPr>
                <w:rFonts w:ascii="Times New Roman" w:hAnsi="Times New Roman" w:cs="Times New Roman"/>
                <w:lang w:val="kk-KZ"/>
              </w:rPr>
              <w:t>: 12 Вт-тан аспайды.</w:t>
            </w:r>
          </w:p>
          <w:p w:rsidR="00EB674F" w:rsidRPr="008709B4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B674F" w:rsidRPr="008709B4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>VistaLink Pro бағдарламасымен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</w:p>
          <w:p w:rsidR="00EB674F" w:rsidRPr="008709B4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(11.1.0. b 1943-тен </w:t>
            </w:r>
            <w:r w:rsidRPr="008709B4">
              <w:rPr>
                <w:rFonts w:ascii="Times New Roman" w:hAnsi="Times New Roman" w:cs="Times New Roman"/>
                <w:lang w:val="kk-KZ"/>
              </w:rPr>
              <w:t>ерте емес нұсқасы).</w:t>
            </w:r>
          </w:p>
          <w:p w:rsidR="00EB674F" w:rsidRPr="008709B4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Magnum бағдарламасымен</w:t>
            </w:r>
            <w:r w:rsidRPr="008709B4">
              <w:rPr>
                <w:rFonts w:ascii="Times New Roman" w:hAnsi="Times New Roman" w:cs="Times New Roman"/>
                <w:lang w:val="kk-KZ"/>
              </w:rPr>
              <w:t xml:space="preserve">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</w:p>
          <w:p w:rsidR="00EB674F" w:rsidRPr="008709B4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>(1.5.4-тен ерте емес нұсқасы).</w:t>
            </w:r>
          </w:p>
          <w:p w:rsidR="00EB674F" w:rsidRPr="008709B4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Evertz 7801FR фрейм-</w:t>
            </w:r>
            <w:r w:rsidRPr="008709B4">
              <w:rPr>
                <w:rFonts w:ascii="Times New Roman" w:hAnsi="Times New Roman" w:cs="Times New Roman"/>
                <w:lang w:val="kk-KZ"/>
              </w:rPr>
              <w:t>себетімен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  <w:r w:rsidRPr="008709B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B674F" w:rsidRPr="005D3CE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 xml:space="preserve">Evertz 7800FR </w:t>
            </w:r>
            <w:r w:rsidRPr="005D3CEA">
              <w:rPr>
                <w:rFonts w:ascii="Times New Roman" w:hAnsi="Times New Roman" w:cs="Times New Roman"/>
                <w:lang w:val="kk-KZ"/>
              </w:rPr>
              <w:t>фрейм-себетімен үйлесімділік;</w:t>
            </w:r>
          </w:p>
          <w:p w:rsidR="00EB674F" w:rsidRPr="005D3CE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 xml:space="preserve">Evertz 7701FR </w:t>
            </w:r>
            <w:r w:rsidRPr="005D3CEA">
              <w:rPr>
                <w:rFonts w:ascii="Times New Roman" w:hAnsi="Times New Roman" w:cs="Times New Roman"/>
                <w:lang w:val="kk-KZ"/>
              </w:rPr>
              <w:t>фрейм-себетімен үйлесімділік;</w:t>
            </w:r>
          </w:p>
          <w:p w:rsidR="00EB674F" w:rsidRPr="005D3CEA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8709B4">
              <w:rPr>
                <w:rFonts w:ascii="Times New Roman" w:hAnsi="Times New Roman" w:cs="Times New Roman"/>
                <w:lang w:val="kk-KZ"/>
              </w:rPr>
              <w:t xml:space="preserve">Evertz 7700FR </w:t>
            </w:r>
            <w:r w:rsidRPr="005D3CEA">
              <w:rPr>
                <w:rFonts w:ascii="Times New Roman" w:hAnsi="Times New Roman" w:cs="Times New Roman"/>
                <w:lang w:val="kk-KZ"/>
              </w:rPr>
              <w:t>фрейм-себетімен үйлесімділік;</w:t>
            </w:r>
          </w:p>
          <w:p w:rsidR="00EB674F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B674F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B674F" w:rsidRPr="00082B95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Қолданыстағы </w:t>
            </w:r>
            <w:r w:rsidRPr="00082B95">
              <w:rPr>
                <w:rFonts w:ascii="Times New Roman" w:hAnsi="Times New Roman" w:cs="Times New Roman"/>
                <w:lang w:val="kk-KZ"/>
              </w:rPr>
              <w:t>Evertz-тен 7707CVRA синхрондау сигналын түрлендірудің қабылдау тақтасына ұқсас.</w:t>
            </w:r>
          </w:p>
          <w:p w:rsidR="00EB674F" w:rsidRPr="00082B95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B674F" w:rsidRPr="00B119B6" w:rsidRDefault="00EB674F" w:rsidP="0056416C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Аукцион құрамындаӘ</w:t>
            </w:r>
            <w:r w:rsidRPr="00082B95">
              <w:rPr>
                <w:rFonts w:ascii="Times New Roman" w:hAnsi="Times New Roman" w:cs="Times New Roman"/>
                <w:lang w:val="kk-KZ"/>
              </w:rPr>
              <w:t>әлеуетті</w:t>
            </w:r>
            <w:r>
              <w:rPr>
                <w:rFonts w:ascii="Times New Roman" w:hAnsi="Times New Roman" w:cs="Times New Roman"/>
                <w:lang w:val="kk-KZ"/>
              </w:rPr>
              <w:t xml:space="preserve"> өнім беруші Ә</w:t>
            </w:r>
            <w:r w:rsidRPr="00082B95">
              <w:rPr>
                <w:rFonts w:ascii="Times New Roman" w:hAnsi="Times New Roman" w:cs="Times New Roman"/>
                <w:lang w:val="kk-KZ"/>
              </w:rPr>
              <w:t>леуетті өнім берушінің техникалық ерекшелігінде көрсетілген өндірушіден не оның ресми өкілінен (дилерден немесе дистрибьютордан) авторландыру хатын ұсынуы тиіс.</w:t>
            </w:r>
          </w:p>
        </w:tc>
      </w:tr>
      <w:tr w:rsidR="00EB674F" w:rsidRPr="00EB674F" w:rsidTr="0056416C">
        <w:tc>
          <w:tcPr>
            <w:tcW w:w="425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  <w:lang w:val="kk-KZ"/>
              </w:rPr>
            </w:pPr>
            <w:r w:rsidRPr="00B119B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261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  <w:lang w:val="kk-KZ"/>
              </w:rPr>
            </w:pPr>
            <w:r w:rsidRPr="00B119B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EB674F" w:rsidRPr="00B119B6" w:rsidRDefault="00EB674F" w:rsidP="005641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674F" w:rsidRPr="00B119B6" w:rsidTr="0056416C">
        <w:tc>
          <w:tcPr>
            <w:tcW w:w="425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</w:rPr>
            </w:pPr>
            <w:r w:rsidRPr="00B119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</w:rPr>
            </w:pPr>
            <w:proofErr w:type="spellStart"/>
            <w:r w:rsidRPr="00B119B6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119B6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және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алу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шарт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119B6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B119B6">
              <w:rPr>
                <w:rFonts w:ascii="Times New Roman" w:hAnsi="Times New Roman" w:cs="Times New Roman"/>
              </w:rPr>
              <w:t>)(</w:t>
            </w:r>
            <w:proofErr w:type="spellStart"/>
            <w:r w:rsidRPr="00B119B6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өнім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үшін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жол</w:t>
            </w:r>
            <w:proofErr w:type="spellEnd"/>
            <w:r w:rsidRPr="00B11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9B6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EB674F" w:rsidRPr="00B119B6" w:rsidRDefault="00EB674F" w:rsidP="0056416C">
            <w:pPr>
              <w:rPr>
                <w:rFonts w:ascii="Times New Roman" w:hAnsi="Times New Roman" w:cs="Times New Roman"/>
              </w:rPr>
            </w:pPr>
          </w:p>
        </w:tc>
      </w:tr>
    </w:tbl>
    <w:p w:rsidR="00EB674F" w:rsidRPr="00B119B6" w:rsidRDefault="00EB674F" w:rsidP="00EB674F">
      <w:pPr>
        <w:spacing w:after="0" w:line="240" w:lineRule="auto"/>
        <w:rPr>
          <w:rFonts w:ascii="Times New Roman" w:hAnsi="Times New Roman" w:cs="Times New Roman"/>
        </w:rPr>
      </w:pPr>
    </w:p>
    <w:p w:rsidR="0057585D" w:rsidRDefault="0057585D">
      <w:bookmarkStart w:id="0" w:name="_GoBack"/>
      <w:bookmarkEnd w:id="0"/>
    </w:p>
    <w:sectPr w:rsidR="0057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4F"/>
    <w:rsid w:val="0057585D"/>
    <w:rsid w:val="00E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4F"/>
    <w:pPr>
      <w:spacing w:after="0" w:line="240" w:lineRule="auto"/>
    </w:pPr>
    <w:rPr>
      <w:sz w:val="24"/>
      <w:szCs w:val="24"/>
    </w:rPr>
  </w:style>
  <w:style w:type="table" w:styleId="a4">
    <w:name w:val="Table Grid"/>
    <w:basedOn w:val="a1"/>
    <w:uiPriority w:val="59"/>
    <w:rsid w:val="00EB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4F"/>
    <w:pPr>
      <w:spacing w:after="0" w:line="240" w:lineRule="auto"/>
    </w:pPr>
    <w:rPr>
      <w:sz w:val="24"/>
      <w:szCs w:val="24"/>
    </w:rPr>
  </w:style>
  <w:style w:type="table" w:styleId="a4">
    <w:name w:val="Table Grid"/>
    <w:basedOn w:val="a1"/>
    <w:uiPriority w:val="59"/>
    <w:rsid w:val="00EB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Company>HP Inc.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2022-08-31T04:42:00Z</dcterms:created>
  <dcterms:modified xsi:type="dcterms:W3CDTF">2022-08-31T04:42:00Z</dcterms:modified>
</cp:coreProperties>
</file>