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C8" w:rsidRPr="00F513F3" w:rsidRDefault="003F28C8" w:rsidP="003F28C8">
      <w:pPr>
        <w:tabs>
          <w:tab w:val="left" w:pos="993"/>
        </w:tabs>
        <w:ind w:firstLine="567"/>
        <w:jc w:val="center"/>
        <w:rPr>
          <w:b/>
          <w:sz w:val="20"/>
          <w:szCs w:val="20"/>
        </w:rPr>
      </w:pPr>
      <w:r w:rsidRPr="00F513F3">
        <w:rPr>
          <w:b/>
          <w:sz w:val="20"/>
          <w:szCs w:val="20"/>
        </w:rPr>
        <w:t>ТЕХНИЧЕСКАЯ СПЕЦИФИКАЦИЯ</w:t>
      </w:r>
    </w:p>
    <w:p w:rsidR="003F28C8" w:rsidRPr="00F513F3" w:rsidRDefault="003F28C8" w:rsidP="003F28C8">
      <w:pPr>
        <w:tabs>
          <w:tab w:val="left" w:pos="993"/>
        </w:tabs>
        <w:ind w:firstLine="567"/>
        <w:jc w:val="center"/>
        <w:rPr>
          <w:b/>
          <w:sz w:val="20"/>
          <w:szCs w:val="20"/>
        </w:rPr>
      </w:pPr>
      <w:r w:rsidRPr="00F513F3">
        <w:rPr>
          <w:b/>
          <w:sz w:val="20"/>
          <w:szCs w:val="20"/>
        </w:rPr>
        <w:t>закупаемых Товаров</w:t>
      </w:r>
    </w:p>
    <w:p w:rsidR="003F28C8" w:rsidRPr="00B3341A" w:rsidRDefault="003F28C8" w:rsidP="003F28C8">
      <w:pPr>
        <w:tabs>
          <w:tab w:val="left" w:pos="993"/>
        </w:tabs>
        <w:ind w:firstLine="567"/>
        <w:jc w:val="center"/>
        <w:rPr>
          <w:b/>
          <w:sz w:val="20"/>
          <w:szCs w:val="20"/>
        </w:rPr>
      </w:pPr>
      <w:r w:rsidRPr="00B3341A">
        <w:rPr>
          <w:b/>
          <w:sz w:val="20"/>
          <w:szCs w:val="20"/>
        </w:rPr>
        <w:t>(</w:t>
      </w:r>
      <w:r w:rsidRPr="0093171C">
        <w:rPr>
          <w:b/>
          <w:sz w:val="20"/>
          <w:szCs w:val="20"/>
          <w:lang w:val="kk-KZ"/>
        </w:rPr>
        <w:t>Инвалидный подъемник</w:t>
      </w:r>
      <w:r w:rsidRPr="00B3341A">
        <w:rPr>
          <w:b/>
          <w:sz w:val="20"/>
          <w:szCs w:val="20"/>
        </w:rPr>
        <w:t>)</w:t>
      </w:r>
    </w:p>
    <w:p w:rsidR="003F28C8" w:rsidRPr="00F513F3" w:rsidRDefault="003F28C8" w:rsidP="003F28C8">
      <w:pPr>
        <w:tabs>
          <w:tab w:val="left" w:pos="993"/>
        </w:tabs>
        <w:ind w:firstLine="567"/>
        <w:jc w:val="center"/>
        <w:rPr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998"/>
        <w:gridCol w:w="5642"/>
      </w:tblGrid>
      <w:tr w:rsidR="003F28C8" w:rsidRPr="0090643C" w:rsidTr="0037578B">
        <w:trPr>
          <w:trHeight w:val="400"/>
        </w:trPr>
        <w:tc>
          <w:tcPr>
            <w:tcW w:w="425" w:type="dxa"/>
            <w:shd w:val="clear" w:color="auto" w:fill="auto"/>
          </w:tcPr>
          <w:p w:rsidR="003F28C8" w:rsidRPr="0090643C" w:rsidRDefault="003F28C8" w:rsidP="0037578B">
            <w:pPr>
              <w:jc w:val="left"/>
              <w:rPr>
                <w:rFonts w:eastAsia="Calibri"/>
                <w:b/>
                <w:color w:val="auto"/>
                <w:sz w:val="18"/>
                <w:szCs w:val="18"/>
                <w:lang w:val="en-US" w:eastAsia="en-US"/>
              </w:rPr>
            </w:pPr>
            <w:r w:rsidRPr="0090643C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998" w:type="dxa"/>
            <w:shd w:val="clear" w:color="auto" w:fill="auto"/>
          </w:tcPr>
          <w:p w:rsidR="003F28C8" w:rsidRPr="0090643C" w:rsidRDefault="003F28C8" w:rsidP="0037578B">
            <w:pPr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5642" w:type="dxa"/>
            <w:shd w:val="clear" w:color="auto" w:fill="auto"/>
          </w:tcPr>
          <w:p w:rsidR="003F28C8" w:rsidRPr="0090643C" w:rsidRDefault="003F28C8" w:rsidP="0037578B">
            <w:pPr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Требования</w:t>
            </w:r>
          </w:p>
        </w:tc>
      </w:tr>
      <w:tr w:rsidR="003F28C8" w:rsidRPr="0090643C" w:rsidTr="0037578B">
        <w:tc>
          <w:tcPr>
            <w:tcW w:w="425" w:type="dxa"/>
            <w:shd w:val="clear" w:color="auto" w:fill="auto"/>
          </w:tcPr>
          <w:p w:rsidR="003F28C8" w:rsidRPr="0090643C" w:rsidRDefault="003F28C8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3F28C8" w:rsidRPr="0090643C" w:rsidRDefault="003F28C8" w:rsidP="0037578B">
            <w:pPr>
              <w:jc w:val="left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sz w:val="18"/>
                <w:szCs w:val="18"/>
                <w:lang w:val="kk-KZ" w:eastAsia="en-US"/>
              </w:rPr>
              <w:t>Наименование товара</w:t>
            </w:r>
          </w:p>
        </w:tc>
        <w:tc>
          <w:tcPr>
            <w:tcW w:w="5642" w:type="dxa"/>
            <w:shd w:val="clear" w:color="auto" w:fill="auto"/>
          </w:tcPr>
          <w:p w:rsidR="003F28C8" w:rsidRPr="0090643C" w:rsidRDefault="003F28C8" w:rsidP="0037578B">
            <w:pPr>
              <w:pStyle w:val="a3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</w:pPr>
            <w:r w:rsidRPr="0093171C">
              <w:rPr>
                <w:rFonts w:ascii="Times New Roman" w:eastAsiaTheme="minorHAnsi" w:hAnsi="Times New Roman" w:cs="Times New Roman"/>
                <w:sz w:val="18"/>
                <w:szCs w:val="18"/>
                <w:lang w:val="kk-KZ" w:eastAsia="en-US"/>
              </w:rPr>
              <w:t>Инвалидный подъемник</w:t>
            </w:r>
          </w:p>
        </w:tc>
      </w:tr>
      <w:tr w:rsidR="003F28C8" w:rsidRPr="0090643C" w:rsidTr="0037578B">
        <w:tc>
          <w:tcPr>
            <w:tcW w:w="425" w:type="dxa"/>
            <w:shd w:val="clear" w:color="auto" w:fill="auto"/>
          </w:tcPr>
          <w:p w:rsidR="003F28C8" w:rsidRPr="0090643C" w:rsidRDefault="003F28C8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998" w:type="dxa"/>
            <w:shd w:val="clear" w:color="auto" w:fill="auto"/>
          </w:tcPr>
          <w:p w:rsidR="003F28C8" w:rsidRPr="0090643C" w:rsidRDefault="003F28C8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5642" w:type="dxa"/>
            <w:shd w:val="clear" w:color="auto" w:fill="auto"/>
          </w:tcPr>
          <w:p w:rsidR="003F28C8" w:rsidRPr="00971188" w:rsidRDefault="003F28C8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val="kk-KZ" w:eastAsia="en-US"/>
              </w:rPr>
            </w:pPr>
            <w:r w:rsidRPr="000F3C99">
              <w:rPr>
                <w:rFonts w:eastAsia="Calibri"/>
                <w:color w:val="auto"/>
                <w:sz w:val="18"/>
                <w:szCs w:val="18"/>
                <w:lang w:val="kk-KZ" w:eastAsia="en-US"/>
              </w:rPr>
              <w:t>СТ РК ГОСТ Р 51630-2009</w:t>
            </w:r>
          </w:p>
        </w:tc>
      </w:tr>
      <w:tr w:rsidR="003F28C8" w:rsidRPr="0090643C" w:rsidTr="0037578B">
        <w:trPr>
          <w:trHeight w:val="333"/>
        </w:trPr>
        <w:tc>
          <w:tcPr>
            <w:tcW w:w="425" w:type="dxa"/>
            <w:shd w:val="clear" w:color="auto" w:fill="auto"/>
          </w:tcPr>
          <w:p w:rsidR="003F28C8" w:rsidRPr="0090643C" w:rsidRDefault="003F28C8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998" w:type="dxa"/>
            <w:shd w:val="clear" w:color="auto" w:fill="auto"/>
          </w:tcPr>
          <w:p w:rsidR="003F28C8" w:rsidRPr="0090643C" w:rsidRDefault="003F28C8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5642" w:type="dxa"/>
            <w:shd w:val="clear" w:color="auto" w:fill="auto"/>
          </w:tcPr>
          <w:p w:rsidR="003F28C8" w:rsidRPr="0090643C" w:rsidRDefault="003F28C8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3F28C8" w:rsidRPr="0090643C" w:rsidTr="0037578B">
        <w:tc>
          <w:tcPr>
            <w:tcW w:w="425" w:type="dxa"/>
            <w:shd w:val="clear" w:color="auto" w:fill="auto"/>
          </w:tcPr>
          <w:p w:rsidR="003F28C8" w:rsidRPr="0090643C" w:rsidRDefault="003F28C8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998" w:type="dxa"/>
            <w:shd w:val="clear" w:color="auto" w:fill="auto"/>
          </w:tcPr>
          <w:p w:rsidR="003F28C8" w:rsidRPr="0090643C" w:rsidRDefault="003F28C8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Гарантийный срок (в месяцах)</w:t>
            </w:r>
          </w:p>
        </w:tc>
        <w:tc>
          <w:tcPr>
            <w:tcW w:w="5642" w:type="dxa"/>
            <w:shd w:val="clear" w:color="auto" w:fill="auto"/>
          </w:tcPr>
          <w:p w:rsidR="003F28C8" w:rsidRPr="0090643C" w:rsidRDefault="003F28C8" w:rsidP="0037578B">
            <w:pPr>
              <w:rPr>
                <w:sz w:val="18"/>
                <w:szCs w:val="18"/>
              </w:rPr>
            </w:pPr>
            <w:r w:rsidRPr="0090643C">
              <w:rPr>
                <w:sz w:val="18"/>
                <w:szCs w:val="18"/>
                <w:shd w:val="clear" w:color="auto" w:fill="FFFFFF"/>
              </w:rPr>
              <w:t>не менее 12 месяцев.</w:t>
            </w:r>
          </w:p>
        </w:tc>
      </w:tr>
      <w:tr w:rsidR="003F28C8" w:rsidRPr="0090643C" w:rsidTr="0037578B">
        <w:tc>
          <w:tcPr>
            <w:tcW w:w="425" w:type="dxa"/>
            <w:shd w:val="clear" w:color="auto" w:fill="auto"/>
          </w:tcPr>
          <w:p w:rsidR="003F28C8" w:rsidRPr="0090643C" w:rsidRDefault="003F28C8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998" w:type="dxa"/>
            <w:shd w:val="clear" w:color="auto" w:fill="auto"/>
          </w:tcPr>
          <w:p w:rsidR="003F28C8" w:rsidRPr="0090643C" w:rsidRDefault="003F28C8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Описание </w:t>
            </w:r>
            <w:proofErr w:type="gramStart"/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требуемых</w:t>
            </w:r>
            <w:proofErr w:type="gramEnd"/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функциональных, технических,</w:t>
            </w:r>
          </w:p>
          <w:p w:rsidR="003F28C8" w:rsidRPr="0090643C" w:rsidRDefault="003F28C8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качественных, эксплуатационных и иных характеристик закупаемого товара</w:t>
            </w:r>
          </w:p>
        </w:tc>
        <w:tc>
          <w:tcPr>
            <w:tcW w:w="5642" w:type="dxa"/>
            <w:shd w:val="clear" w:color="auto" w:fill="auto"/>
          </w:tcPr>
          <w:p w:rsidR="003F28C8" w:rsidRDefault="003F28C8" w:rsidP="0037578B">
            <w:pPr>
              <w:rPr>
                <w:rFonts w:eastAsiaTheme="minorHAnsi"/>
                <w:sz w:val="18"/>
                <w:szCs w:val="18"/>
                <w:lang w:val="kk-KZ" w:eastAsia="en-US"/>
              </w:rPr>
            </w:pPr>
            <w:r>
              <w:rPr>
                <w:rFonts w:eastAsiaTheme="minorHAnsi"/>
                <w:sz w:val="18"/>
                <w:szCs w:val="18"/>
                <w:lang w:val="kk-KZ" w:eastAsia="en-US"/>
              </w:rPr>
              <w:t>Вертикальная подъемная платформа для инвалидов состоит из:</w:t>
            </w:r>
          </w:p>
          <w:p w:rsidR="003F28C8" w:rsidRDefault="003F28C8" w:rsidP="0037578B">
            <w:pPr>
              <w:rPr>
                <w:rFonts w:eastAsiaTheme="minorHAnsi"/>
                <w:sz w:val="18"/>
                <w:szCs w:val="18"/>
                <w:lang w:val="kk-KZ" w:eastAsia="en-US"/>
              </w:rPr>
            </w:pPr>
            <w:r>
              <w:rPr>
                <w:rFonts w:eastAsiaTheme="minorHAnsi"/>
                <w:sz w:val="18"/>
                <w:szCs w:val="18"/>
                <w:lang w:val="kk-KZ" w:eastAsia="en-US"/>
              </w:rPr>
              <w:t>Корпус, платворма и пульт упрвления.</w:t>
            </w:r>
          </w:p>
          <w:p w:rsidR="003F28C8" w:rsidRDefault="003F28C8" w:rsidP="0037578B">
            <w:pPr>
              <w:rPr>
                <w:rFonts w:eastAsiaTheme="minorHAnsi"/>
                <w:sz w:val="18"/>
                <w:szCs w:val="18"/>
                <w:lang w:val="kk-KZ" w:eastAsia="en-US"/>
              </w:rPr>
            </w:pPr>
            <w:r w:rsidRPr="0090643C">
              <w:rPr>
                <w:sz w:val="18"/>
                <w:szCs w:val="18"/>
              </w:rPr>
              <w:t xml:space="preserve">Тип монтажа: </w:t>
            </w:r>
            <w:r>
              <w:rPr>
                <w:sz w:val="18"/>
                <w:szCs w:val="18"/>
              </w:rPr>
              <w:t>Вертикальный подъем</w:t>
            </w:r>
            <w:r w:rsidRPr="0090643C">
              <w:rPr>
                <w:sz w:val="18"/>
                <w:szCs w:val="18"/>
              </w:rPr>
              <w:t>.</w:t>
            </w:r>
          </w:p>
          <w:p w:rsidR="003F28C8" w:rsidRPr="004C61FC" w:rsidRDefault="003F28C8" w:rsidP="0037578B">
            <w:pPr>
              <w:rPr>
                <w:rFonts w:eastAsiaTheme="minorHAnsi"/>
                <w:sz w:val="18"/>
                <w:szCs w:val="18"/>
                <w:lang w:val="kk-KZ" w:eastAsia="en-US"/>
              </w:rPr>
            </w:pPr>
            <w:r>
              <w:rPr>
                <w:rFonts w:eastAsiaTheme="minorHAnsi"/>
                <w:sz w:val="18"/>
                <w:szCs w:val="18"/>
                <w:lang w:val="kk-KZ" w:eastAsia="en-US"/>
              </w:rPr>
              <w:t xml:space="preserve">      Основные конструкция крепится 4-мя специальными анкерными болтами не менее 18 мм. Крепление анкерных болтов осущетвляется по месту установки платформы. Глубина бетонной подушки на 0,00 уровне </w:t>
            </w:r>
            <w:r w:rsidRPr="00E23079"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/>
                <w:sz w:val="18"/>
                <w:szCs w:val="18"/>
                <w:lang w:val="kk-KZ" w:eastAsia="en-US"/>
              </w:rPr>
              <w:t>на уровне земли</w:t>
            </w:r>
            <w:r w:rsidRPr="00E23079">
              <w:rPr>
                <w:rFonts w:eastAsiaTheme="minorHAnsi"/>
                <w:sz w:val="18"/>
                <w:szCs w:val="18"/>
                <w:lang w:eastAsia="en-US"/>
              </w:rPr>
              <w:t>)</w:t>
            </w:r>
            <w:r>
              <w:rPr>
                <w:rFonts w:eastAsiaTheme="minorHAnsi"/>
                <w:sz w:val="18"/>
                <w:szCs w:val="18"/>
                <w:lang w:val="kk-KZ" w:eastAsia="en-US"/>
              </w:rPr>
              <w:t>. Минимальная глубина подушки необходимая для установки подъемника не менее 400 мм.</w:t>
            </w:r>
          </w:p>
          <w:p w:rsidR="003F28C8" w:rsidRPr="004C61FC" w:rsidRDefault="003F28C8" w:rsidP="0037578B">
            <w:pPr>
              <w:rPr>
                <w:rFonts w:eastAsiaTheme="minorHAnsi"/>
                <w:sz w:val="18"/>
                <w:szCs w:val="18"/>
                <w:lang w:val="kk-KZ" w:eastAsia="en-US"/>
              </w:rPr>
            </w:pPr>
            <w:r>
              <w:t xml:space="preserve"> </w:t>
            </w:r>
            <w:r>
              <w:rPr>
                <w:lang w:val="kk-KZ"/>
              </w:rPr>
              <w:t xml:space="preserve">    </w:t>
            </w:r>
            <w:r w:rsidRPr="004C61FC">
              <w:rPr>
                <w:sz w:val="18"/>
                <w:szCs w:val="18"/>
              </w:rPr>
              <w:t>На ограждении платформы установлены кнопки управления подъемником, при помощи которых можно поднять или опустить платформу. При начале движения подъемника пандус поднимается, блокируя произвольный съезд инвалидной коляски с платформы, тем самым, обеспечивая максимальную безопасность пользователя.</w:t>
            </w:r>
          </w:p>
          <w:p w:rsidR="003F28C8" w:rsidRPr="00AE38DC" w:rsidRDefault="003F28C8" w:rsidP="0037578B">
            <w:pPr>
              <w:pStyle w:val="Default"/>
              <w:spacing w:after="30"/>
              <w:rPr>
                <w:sz w:val="18"/>
                <w:szCs w:val="18"/>
                <w:lang w:val="ru-RU"/>
              </w:rPr>
            </w:pPr>
            <w:r w:rsidRPr="003C2A85">
              <w:rPr>
                <w:sz w:val="18"/>
                <w:szCs w:val="18"/>
                <w:lang w:val="ru-RU"/>
              </w:rPr>
              <w:t xml:space="preserve">· </w:t>
            </w:r>
            <w:r w:rsidRPr="0090643C">
              <w:rPr>
                <w:sz w:val="18"/>
                <w:szCs w:val="18"/>
                <w:lang w:val="kk-KZ"/>
              </w:rPr>
              <w:t>Напряжения питания</w:t>
            </w:r>
            <w:r w:rsidRPr="00AE38DC">
              <w:rPr>
                <w:sz w:val="18"/>
                <w:szCs w:val="18"/>
                <w:lang w:val="ru-RU"/>
              </w:rPr>
              <w:t>: не менее 220В.</w:t>
            </w:r>
          </w:p>
          <w:p w:rsidR="003F28C8" w:rsidRPr="003C2A85" w:rsidRDefault="003F28C8" w:rsidP="0037578B">
            <w:pPr>
              <w:pStyle w:val="Default"/>
              <w:spacing w:after="30"/>
              <w:rPr>
                <w:sz w:val="18"/>
                <w:szCs w:val="18"/>
                <w:lang w:val="ru-RU"/>
              </w:rPr>
            </w:pPr>
            <w:r w:rsidRPr="003C2A85">
              <w:rPr>
                <w:sz w:val="18"/>
                <w:szCs w:val="18"/>
                <w:lang w:val="ru-RU"/>
              </w:rPr>
              <w:t xml:space="preserve">· Потребляемая мощность: 1,2 кВт </w:t>
            </w:r>
          </w:p>
          <w:p w:rsidR="003F28C8" w:rsidRPr="003C2A85" w:rsidRDefault="003F28C8" w:rsidP="0037578B">
            <w:pPr>
              <w:pStyle w:val="Default"/>
              <w:spacing w:after="30"/>
              <w:rPr>
                <w:sz w:val="18"/>
                <w:szCs w:val="18"/>
                <w:lang w:val="ru-RU"/>
              </w:rPr>
            </w:pPr>
            <w:r w:rsidRPr="003C2A85">
              <w:rPr>
                <w:sz w:val="18"/>
                <w:szCs w:val="18"/>
                <w:lang w:val="ru-RU"/>
              </w:rPr>
              <w:t xml:space="preserve">· Размер платформы 950х1200 </w:t>
            </w:r>
          </w:p>
          <w:p w:rsidR="003F28C8" w:rsidRPr="003C2A85" w:rsidRDefault="003F28C8" w:rsidP="0037578B">
            <w:pPr>
              <w:pStyle w:val="Default"/>
              <w:spacing w:after="30"/>
              <w:rPr>
                <w:sz w:val="18"/>
                <w:szCs w:val="18"/>
                <w:lang w:val="ru-RU"/>
              </w:rPr>
            </w:pPr>
            <w:r w:rsidRPr="003C2A85">
              <w:rPr>
                <w:sz w:val="18"/>
                <w:szCs w:val="18"/>
                <w:lang w:val="ru-RU"/>
              </w:rPr>
              <w:t xml:space="preserve">· Грузоподъемность: 250 кг. </w:t>
            </w:r>
          </w:p>
          <w:p w:rsidR="003F28C8" w:rsidRPr="003C2A85" w:rsidRDefault="003F28C8" w:rsidP="0037578B">
            <w:pPr>
              <w:pStyle w:val="Default"/>
              <w:spacing w:after="30"/>
              <w:rPr>
                <w:sz w:val="18"/>
                <w:szCs w:val="18"/>
                <w:lang w:val="ru-RU"/>
              </w:rPr>
            </w:pPr>
            <w:r w:rsidRPr="003C2A85">
              <w:rPr>
                <w:sz w:val="18"/>
                <w:szCs w:val="18"/>
                <w:lang w:val="ru-RU"/>
              </w:rPr>
              <w:t xml:space="preserve">· Скорость подъема - до 0,15 м/сек. </w:t>
            </w:r>
          </w:p>
          <w:p w:rsidR="003F28C8" w:rsidRPr="003C2A85" w:rsidRDefault="003F28C8" w:rsidP="0037578B">
            <w:pPr>
              <w:pStyle w:val="Default"/>
              <w:spacing w:after="30"/>
              <w:rPr>
                <w:sz w:val="18"/>
                <w:szCs w:val="18"/>
                <w:lang w:val="ru-RU"/>
              </w:rPr>
            </w:pPr>
            <w:r w:rsidRPr="003C2A85">
              <w:rPr>
                <w:sz w:val="18"/>
                <w:szCs w:val="18"/>
                <w:lang w:val="ru-RU"/>
              </w:rPr>
              <w:t xml:space="preserve">· Вместимость: 1 пассажир с креслом-коляской без сопровождающего </w:t>
            </w:r>
          </w:p>
          <w:p w:rsidR="003F28C8" w:rsidRPr="003C2A85" w:rsidRDefault="003F28C8" w:rsidP="0037578B">
            <w:pPr>
              <w:pStyle w:val="Default"/>
              <w:spacing w:after="30"/>
              <w:rPr>
                <w:sz w:val="18"/>
                <w:szCs w:val="18"/>
                <w:lang w:val="ru-RU"/>
              </w:rPr>
            </w:pPr>
            <w:r w:rsidRPr="003C2A85">
              <w:rPr>
                <w:sz w:val="18"/>
                <w:szCs w:val="18"/>
                <w:lang w:val="ru-RU"/>
              </w:rPr>
              <w:t xml:space="preserve">· Надежная электромеханическая система привода </w:t>
            </w:r>
          </w:p>
          <w:p w:rsidR="003F28C8" w:rsidRPr="003C2A85" w:rsidRDefault="003F28C8" w:rsidP="0037578B">
            <w:pPr>
              <w:pStyle w:val="Default"/>
              <w:spacing w:after="30"/>
              <w:rPr>
                <w:sz w:val="18"/>
                <w:szCs w:val="18"/>
                <w:lang w:val="ru-RU"/>
              </w:rPr>
            </w:pPr>
            <w:r w:rsidRPr="003C2A85">
              <w:rPr>
                <w:sz w:val="18"/>
                <w:szCs w:val="18"/>
                <w:lang w:val="ru-RU"/>
              </w:rPr>
              <w:t xml:space="preserve">· Максимальная высота подъема платформы: до 3000 мм. </w:t>
            </w:r>
          </w:p>
          <w:p w:rsidR="003F28C8" w:rsidRPr="003C2A85" w:rsidRDefault="003F28C8" w:rsidP="0037578B">
            <w:pPr>
              <w:pStyle w:val="Default"/>
              <w:spacing w:after="30"/>
              <w:rPr>
                <w:sz w:val="18"/>
                <w:szCs w:val="18"/>
                <w:lang w:val="ru-RU"/>
              </w:rPr>
            </w:pPr>
            <w:r w:rsidRPr="003C2A85">
              <w:rPr>
                <w:sz w:val="18"/>
                <w:szCs w:val="18"/>
                <w:lang w:val="ru-RU"/>
              </w:rPr>
              <w:t xml:space="preserve">· Управление </w:t>
            </w:r>
            <w:proofErr w:type="spellStart"/>
            <w:r>
              <w:rPr>
                <w:sz w:val="18"/>
                <w:szCs w:val="18"/>
                <w:lang w:val="ru-RU"/>
              </w:rPr>
              <w:t>кнопочно</w:t>
            </w:r>
            <w:proofErr w:type="spellEnd"/>
            <w:r w:rsidRPr="003C2A85">
              <w:rPr>
                <w:sz w:val="18"/>
                <w:szCs w:val="18"/>
                <w:lang w:val="ru-RU"/>
              </w:rPr>
              <w:t xml:space="preserve">-клавишное </w:t>
            </w:r>
          </w:p>
          <w:p w:rsidR="003F28C8" w:rsidRPr="003C2A85" w:rsidRDefault="003F28C8" w:rsidP="0037578B">
            <w:pPr>
              <w:pStyle w:val="Default"/>
              <w:spacing w:after="30"/>
              <w:rPr>
                <w:sz w:val="18"/>
                <w:szCs w:val="18"/>
                <w:lang w:val="ru-RU"/>
              </w:rPr>
            </w:pPr>
            <w:r w:rsidRPr="003C2A85">
              <w:rPr>
                <w:sz w:val="18"/>
                <w:szCs w:val="18"/>
                <w:lang w:val="ru-RU"/>
              </w:rPr>
              <w:t xml:space="preserve">· Аварийная кнопка отключения питания. </w:t>
            </w:r>
          </w:p>
          <w:p w:rsidR="003F28C8" w:rsidRPr="003C2A85" w:rsidRDefault="003F28C8" w:rsidP="0037578B">
            <w:pPr>
              <w:pStyle w:val="Default"/>
              <w:spacing w:after="30"/>
              <w:rPr>
                <w:sz w:val="18"/>
                <w:szCs w:val="18"/>
                <w:lang w:val="ru-RU"/>
              </w:rPr>
            </w:pPr>
            <w:r w:rsidRPr="003C2A85">
              <w:rPr>
                <w:sz w:val="18"/>
                <w:szCs w:val="18"/>
                <w:lang w:val="ru-RU"/>
              </w:rPr>
              <w:t xml:space="preserve">· Ловитель от обрыва троса </w:t>
            </w:r>
          </w:p>
          <w:p w:rsidR="003F28C8" w:rsidRPr="00C009C4" w:rsidRDefault="003F28C8" w:rsidP="0037578B">
            <w:pPr>
              <w:pStyle w:val="Default"/>
              <w:spacing w:after="30"/>
              <w:rPr>
                <w:sz w:val="18"/>
                <w:szCs w:val="18"/>
                <w:lang w:val="ru-RU"/>
              </w:rPr>
            </w:pPr>
            <w:r w:rsidRPr="003C2A85">
              <w:rPr>
                <w:sz w:val="18"/>
                <w:szCs w:val="18"/>
                <w:lang w:val="ru-RU"/>
              </w:rPr>
              <w:t xml:space="preserve">· </w:t>
            </w:r>
            <w:r w:rsidRPr="00C009C4">
              <w:rPr>
                <w:sz w:val="18"/>
                <w:szCs w:val="18"/>
                <w:lang w:val="ru-RU"/>
              </w:rPr>
              <w:t xml:space="preserve">Диапазон рабочих температур: не менее - </w:t>
            </w:r>
            <w:r>
              <w:rPr>
                <w:sz w:val="18"/>
                <w:szCs w:val="18"/>
                <w:lang w:val="ru-RU"/>
              </w:rPr>
              <w:t>35</w:t>
            </w:r>
            <w:r w:rsidRPr="00C009C4">
              <w:rPr>
                <w:sz w:val="18"/>
                <w:szCs w:val="18"/>
                <w:lang w:val="ru-RU"/>
              </w:rPr>
              <w:t>…+</w:t>
            </w:r>
            <w:r>
              <w:rPr>
                <w:sz w:val="18"/>
                <w:szCs w:val="18"/>
                <w:lang w:val="ru-RU"/>
              </w:rPr>
              <w:t>40</w:t>
            </w:r>
            <w:r w:rsidRPr="00C009C4">
              <w:rPr>
                <w:sz w:val="18"/>
                <w:szCs w:val="18"/>
                <w:lang w:val="ru-RU"/>
              </w:rPr>
              <w:t xml:space="preserve"> ºС.</w:t>
            </w:r>
          </w:p>
          <w:p w:rsidR="003F28C8" w:rsidRPr="003C2A85" w:rsidRDefault="003F28C8" w:rsidP="0037578B">
            <w:pPr>
              <w:pStyle w:val="Default"/>
              <w:spacing w:after="30"/>
              <w:rPr>
                <w:sz w:val="18"/>
                <w:szCs w:val="18"/>
                <w:lang w:val="ru-RU"/>
              </w:rPr>
            </w:pPr>
            <w:r w:rsidRPr="003C2A85">
              <w:rPr>
                <w:sz w:val="18"/>
                <w:szCs w:val="18"/>
                <w:lang w:val="ru-RU"/>
              </w:rPr>
              <w:t xml:space="preserve">· Материал платформы: рифленый алюминий </w:t>
            </w:r>
          </w:p>
          <w:p w:rsidR="003F28C8" w:rsidRDefault="003F28C8" w:rsidP="0037578B">
            <w:pPr>
              <w:pStyle w:val="Default"/>
              <w:rPr>
                <w:sz w:val="18"/>
                <w:szCs w:val="18"/>
                <w:lang w:val="ru-RU"/>
              </w:rPr>
            </w:pPr>
            <w:r w:rsidRPr="003C2A85">
              <w:rPr>
                <w:sz w:val="18"/>
                <w:szCs w:val="18"/>
                <w:lang w:val="ru-RU"/>
              </w:rPr>
              <w:t>· Предусматривает крепление к стене и к полу.</w:t>
            </w:r>
          </w:p>
          <w:p w:rsidR="003F28C8" w:rsidRPr="00C009C4" w:rsidRDefault="003F28C8" w:rsidP="0037578B">
            <w:pPr>
              <w:pStyle w:val="Default"/>
              <w:rPr>
                <w:sz w:val="18"/>
                <w:szCs w:val="18"/>
                <w:lang w:val="ru-RU"/>
              </w:rPr>
            </w:pPr>
            <w:r w:rsidRPr="00C009C4">
              <w:rPr>
                <w:sz w:val="18"/>
                <w:szCs w:val="18"/>
                <w:lang w:val="ru-RU"/>
              </w:rPr>
              <w:t>· Плавный пуск и остановка</w:t>
            </w:r>
          </w:p>
          <w:p w:rsidR="003F28C8" w:rsidRPr="00C009C4" w:rsidRDefault="003F28C8" w:rsidP="0037578B">
            <w:pPr>
              <w:pStyle w:val="Default"/>
              <w:rPr>
                <w:sz w:val="18"/>
                <w:szCs w:val="18"/>
                <w:lang w:val="ru-RU"/>
              </w:rPr>
            </w:pPr>
            <w:r w:rsidRPr="00C009C4">
              <w:rPr>
                <w:sz w:val="18"/>
                <w:szCs w:val="18"/>
                <w:lang w:val="ru-RU"/>
              </w:rPr>
              <w:t xml:space="preserve">· </w:t>
            </w:r>
            <w:r>
              <w:rPr>
                <w:sz w:val="18"/>
                <w:szCs w:val="18"/>
                <w:lang w:val="ru-RU"/>
              </w:rPr>
              <w:t>Система защиты от перегруза</w:t>
            </w:r>
          </w:p>
          <w:p w:rsidR="003F28C8" w:rsidRPr="004C61FC" w:rsidRDefault="003F28C8" w:rsidP="0037578B">
            <w:pPr>
              <w:pStyle w:val="Defaul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· </w:t>
            </w:r>
            <w:r w:rsidRPr="00C009C4">
              <w:rPr>
                <w:sz w:val="18"/>
                <w:szCs w:val="18"/>
                <w:lang w:val="ru-RU"/>
              </w:rPr>
              <w:t>Регулировка скорости</w:t>
            </w:r>
          </w:p>
        </w:tc>
      </w:tr>
      <w:tr w:rsidR="003F28C8" w:rsidRPr="0090643C" w:rsidTr="0037578B">
        <w:tc>
          <w:tcPr>
            <w:tcW w:w="425" w:type="dxa"/>
            <w:shd w:val="clear" w:color="auto" w:fill="auto"/>
          </w:tcPr>
          <w:p w:rsidR="003F28C8" w:rsidRPr="0090643C" w:rsidRDefault="003F28C8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998" w:type="dxa"/>
            <w:shd w:val="clear" w:color="auto" w:fill="auto"/>
          </w:tcPr>
          <w:p w:rsidR="003F28C8" w:rsidRPr="0090643C" w:rsidRDefault="003F28C8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Сопутствующие услуги (указываются при необходимости) (монтаж, наладка, обучение, проверки и</w:t>
            </w:r>
            <w:proofErr w:type="gramEnd"/>
          </w:p>
          <w:p w:rsidR="003F28C8" w:rsidRPr="0090643C" w:rsidRDefault="003F28C8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испытания товаров)</w:t>
            </w:r>
          </w:p>
        </w:tc>
        <w:tc>
          <w:tcPr>
            <w:tcW w:w="5642" w:type="dxa"/>
            <w:shd w:val="clear" w:color="auto" w:fill="auto"/>
          </w:tcPr>
          <w:p w:rsidR="003F28C8" w:rsidRDefault="003F28C8" w:rsidP="0037578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  <w:p w:rsidR="003F28C8" w:rsidRPr="0090643C" w:rsidRDefault="003F28C8" w:rsidP="0037578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Демонтаж существующего </w:t>
            </w:r>
            <w:r>
              <w:rPr>
                <w:rFonts w:eastAsiaTheme="minorHAnsi"/>
                <w:sz w:val="18"/>
                <w:szCs w:val="18"/>
                <w:lang w:val="kk-KZ" w:eastAsia="en-US"/>
              </w:rPr>
              <w:t>инвалидного</w:t>
            </w:r>
            <w:r w:rsidRPr="0093171C">
              <w:rPr>
                <w:rFonts w:eastAsiaTheme="minorHAnsi"/>
                <w:sz w:val="18"/>
                <w:szCs w:val="18"/>
                <w:lang w:val="kk-KZ" w:eastAsia="en-US"/>
              </w:rPr>
              <w:t xml:space="preserve"> подъемник</w:t>
            </w:r>
            <w:r>
              <w:rPr>
                <w:rFonts w:eastAsiaTheme="minorHAnsi"/>
                <w:sz w:val="18"/>
                <w:szCs w:val="18"/>
                <w:lang w:val="kk-KZ" w:eastAsia="en-US"/>
              </w:rPr>
              <w:t>а</w:t>
            </w:r>
            <w:r w:rsidRPr="0090643C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и монтаж нового </w:t>
            </w:r>
            <w:r>
              <w:rPr>
                <w:rFonts w:eastAsiaTheme="minorHAnsi"/>
                <w:sz w:val="18"/>
                <w:szCs w:val="18"/>
                <w:lang w:val="kk-KZ" w:eastAsia="en-US"/>
              </w:rPr>
              <w:t>инвалидного</w:t>
            </w:r>
            <w:r w:rsidRPr="0093171C">
              <w:rPr>
                <w:rFonts w:eastAsiaTheme="minorHAnsi"/>
                <w:sz w:val="18"/>
                <w:szCs w:val="18"/>
                <w:lang w:val="kk-KZ" w:eastAsia="en-US"/>
              </w:rPr>
              <w:t xml:space="preserve"> подъемник</w:t>
            </w:r>
            <w:r>
              <w:rPr>
                <w:rFonts w:eastAsiaTheme="minorHAnsi"/>
                <w:sz w:val="18"/>
                <w:szCs w:val="18"/>
                <w:lang w:val="kk-KZ" w:eastAsia="en-US"/>
              </w:rPr>
              <w:t>а</w:t>
            </w:r>
            <w:r w:rsidRPr="0090643C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с установкой и пуско-наладка.</w:t>
            </w:r>
          </w:p>
        </w:tc>
      </w:tr>
      <w:tr w:rsidR="003F28C8" w:rsidRPr="0090643C" w:rsidTr="0037578B">
        <w:tc>
          <w:tcPr>
            <w:tcW w:w="425" w:type="dxa"/>
            <w:shd w:val="clear" w:color="auto" w:fill="auto"/>
          </w:tcPr>
          <w:p w:rsidR="003F28C8" w:rsidRPr="0090643C" w:rsidRDefault="003F28C8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998" w:type="dxa"/>
            <w:shd w:val="clear" w:color="auto" w:fill="auto"/>
          </w:tcPr>
          <w:p w:rsidR="003F28C8" w:rsidRPr="0090643C" w:rsidRDefault="003F28C8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Условия к </w:t>
            </w:r>
            <w:proofErr w:type="gramStart"/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потенциальному</w:t>
            </w:r>
            <w:proofErr w:type="gramEnd"/>
          </w:p>
          <w:p w:rsidR="003F28C8" w:rsidRPr="0090643C" w:rsidRDefault="003F28C8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поставщику в случае определения его победителем и</w:t>
            </w:r>
          </w:p>
          <w:p w:rsidR="003F28C8" w:rsidRPr="0090643C" w:rsidRDefault="003F28C8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заключения с ним договора о</w:t>
            </w:r>
          </w:p>
          <w:p w:rsidR="003F28C8" w:rsidRPr="0090643C" w:rsidRDefault="003F28C8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государственных </w:t>
            </w:r>
            <w:proofErr w:type="gramStart"/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закупках</w:t>
            </w:r>
            <w:proofErr w:type="gramEnd"/>
          </w:p>
          <w:p w:rsidR="003F28C8" w:rsidRPr="0090643C" w:rsidRDefault="003F28C8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(указываются при необходимости) (Отклонение</w:t>
            </w:r>
            <w:proofErr w:type="gramEnd"/>
          </w:p>
          <w:p w:rsidR="003F28C8" w:rsidRPr="0090643C" w:rsidRDefault="003F28C8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потенциального поставщика за не указание и непредставление</w:t>
            </w:r>
          </w:p>
          <w:p w:rsidR="003F28C8" w:rsidRPr="0090643C" w:rsidRDefault="003F28C8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указанных сведений не допускается)</w:t>
            </w:r>
          </w:p>
        </w:tc>
        <w:tc>
          <w:tcPr>
            <w:tcW w:w="5642" w:type="dxa"/>
            <w:shd w:val="clear" w:color="auto" w:fill="auto"/>
          </w:tcPr>
          <w:p w:rsidR="003F28C8" w:rsidRPr="0090643C" w:rsidRDefault="003F28C8" w:rsidP="0037578B">
            <w:pPr>
              <w:spacing w:line="276" w:lineRule="auto"/>
              <w:ind w:firstLine="708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867388" w:rsidRDefault="00867388">
      <w:bookmarkStart w:id="0" w:name="_GoBack"/>
      <w:bookmarkEnd w:id="0"/>
    </w:p>
    <w:sectPr w:rsidR="0086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C8"/>
    <w:rsid w:val="003F28C8"/>
    <w:rsid w:val="0086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C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8C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3F2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C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8C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3F2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2022-04-13T04:17:00Z</dcterms:created>
  <dcterms:modified xsi:type="dcterms:W3CDTF">2022-04-13T04:17:00Z</dcterms:modified>
</cp:coreProperties>
</file>