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86" w:rsidRPr="002F2F8C" w:rsidRDefault="00C206DE" w:rsidP="009E7327">
      <w:pPr>
        <w:spacing w:after="0"/>
        <w:rPr>
          <w:rFonts w:ascii="Times New Roman" w:hAnsi="Times New Roman"/>
          <w:b/>
          <w:sz w:val="20"/>
          <w:szCs w:val="20"/>
        </w:rPr>
      </w:pPr>
      <w:r w:rsidRPr="002F2F8C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</w:t>
      </w:r>
      <w:r w:rsidR="0080077A" w:rsidRPr="002F2F8C">
        <w:rPr>
          <w:rFonts w:ascii="Times New Roman" w:hAnsi="Times New Roman"/>
          <w:b/>
          <w:sz w:val="20"/>
          <w:szCs w:val="20"/>
        </w:rPr>
        <w:t xml:space="preserve">Техническая спецификация </w:t>
      </w:r>
    </w:p>
    <w:p w:rsidR="00C206DE" w:rsidRPr="002F2F8C" w:rsidRDefault="00C206DE" w:rsidP="009E7327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2F2F8C">
        <w:rPr>
          <w:rFonts w:ascii="Times New Roman" w:eastAsia="Calibri" w:hAnsi="Times New Roman"/>
          <w:b/>
          <w:sz w:val="20"/>
          <w:szCs w:val="20"/>
          <w:lang w:val="kk-KZ"/>
        </w:rPr>
        <w:t xml:space="preserve">                         </w:t>
      </w:r>
      <w:r w:rsidR="00AC4778" w:rsidRPr="002F2F8C">
        <w:rPr>
          <w:rFonts w:ascii="Times New Roman" w:eastAsia="Calibri" w:hAnsi="Times New Roman"/>
          <w:b/>
          <w:sz w:val="20"/>
          <w:szCs w:val="20"/>
        </w:rPr>
        <w:t xml:space="preserve">по </w:t>
      </w:r>
      <w:r w:rsidR="00AC4778" w:rsidRPr="002F2F8C">
        <w:rPr>
          <w:rFonts w:ascii="Times New Roman" w:eastAsia="Calibri" w:hAnsi="Times New Roman"/>
          <w:b/>
          <w:sz w:val="20"/>
          <w:szCs w:val="20"/>
          <w:lang w:val="kk-KZ"/>
        </w:rPr>
        <w:t xml:space="preserve">государственному </w:t>
      </w:r>
      <w:r w:rsidR="00AC4778" w:rsidRPr="002F2F8C">
        <w:rPr>
          <w:rFonts w:ascii="Times New Roman" w:eastAsia="Calibri" w:hAnsi="Times New Roman"/>
          <w:b/>
          <w:sz w:val="20"/>
          <w:szCs w:val="20"/>
        </w:rPr>
        <w:t>закупу</w:t>
      </w:r>
      <w:r w:rsidR="00AC4778" w:rsidRPr="002F2F8C">
        <w:rPr>
          <w:rFonts w:ascii="Times New Roman" w:eastAsia="Calibri" w:hAnsi="Times New Roman"/>
          <w:b/>
          <w:sz w:val="20"/>
          <w:szCs w:val="20"/>
          <w:lang w:val="kk-KZ"/>
        </w:rPr>
        <w:t xml:space="preserve"> </w:t>
      </w:r>
      <w:r w:rsidR="00AC4778" w:rsidRPr="002F2F8C">
        <w:rPr>
          <w:rFonts w:ascii="Times New Roman" w:eastAsia="Calibri" w:hAnsi="Times New Roman"/>
          <w:b/>
          <w:sz w:val="20"/>
          <w:szCs w:val="20"/>
        </w:rPr>
        <w:t>«</w:t>
      </w:r>
      <w:r w:rsidRPr="002F2F8C">
        <w:rPr>
          <w:rFonts w:ascii="Times New Roman" w:eastAsia="Calibri" w:hAnsi="Times New Roman"/>
          <w:b/>
          <w:sz w:val="20"/>
          <w:szCs w:val="20"/>
        </w:rPr>
        <w:t>Сервер воспроизведения и записи для</w:t>
      </w:r>
    </w:p>
    <w:p w:rsidR="00AC4778" w:rsidRPr="002F2F8C" w:rsidRDefault="00C206DE" w:rsidP="009E7327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2F2F8C">
        <w:rPr>
          <w:rFonts w:ascii="Times New Roman" w:eastAsia="Calibri" w:hAnsi="Times New Roman"/>
          <w:b/>
          <w:sz w:val="20"/>
          <w:szCs w:val="20"/>
          <w:lang w:val="kk-KZ"/>
        </w:rPr>
        <w:t xml:space="preserve">                                                   </w:t>
      </w:r>
      <w:r w:rsidRPr="002F2F8C">
        <w:rPr>
          <w:rFonts w:ascii="Times New Roman" w:eastAsia="Calibri" w:hAnsi="Times New Roman"/>
          <w:b/>
          <w:sz w:val="20"/>
          <w:szCs w:val="20"/>
        </w:rPr>
        <w:t>телевизионного вещания (для графики)</w:t>
      </w:r>
      <w:r w:rsidR="00AC4778" w:rsidRPr="002F2F8C">
        <w:rPr>
          <w:rFonts w:ascii="Times New Roman" w:eastAsia="Calibri" w:hAnsi="Times New Roman"/>
          <w:b/>
          <w:sz w:val="20"/>
          <w:szCs w:val="20"/>
        </w:rPr>
        <w:t>»</w:t>
      </w:r>
    </w:p>
    <w:p w:rsidR="00C206DE" w:rsidRPr="002F2F8C" w:rsidRDefault="00C206DE" w:rsidP="00C206DE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0D3C48" w:rsidRPr="002F2F8C" w:rsidTr="00310E41">
        <w:tc>
          <w:tcPr>
            <w:tcW w:w="425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520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</w:t>
            </w:r>
          </w:p>
        </w:tc>
      </w:tr>
      <w:tr w:rsidR="000D3C48" w:rsidRPr="002F2F8C" w:rsidTr="00310E41">
        <w:tc>
          <w:tcPr>
            <w:tcW w:w="425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D3C48" w:rsidRPr="002F2F8C" w:rsidTr="00310E41">
        <w:trPr>
          <w:trHeight w:val="333"/>
        </w:trPr>
        <w:tc>
          <w:tcPr>
            <w:tcW w:w="425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6520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0D3C48" w:rsidRPr="002F2F8C" w:rsidTr="00310E41">
        <w:trPr>
          <w:trHeight w:val="161"/>
        </w:trPr>
        <w:tc>
          <w:tcPr>
            <w:tcW w:w="425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77042F" w:rsidRPr="002F2F8C" w:rsidRDefault="00B57AE9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D3C48" w:rsidRPr="002F2F8C" w:rsidTr="00310E41">
        <w:tc>
          <w:tcPr>
            <w:tcW w:w="425" w:type="dxa"/>
          </w:tcPr>
          <w:p w:rsidR="0077042F" w:rsidRPr="002F2F8C" w:rsidRDefault="000C1E15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0C1E15" w:rsidRPr="002F2F8C" w:rsidRDefault="00C206DE" w:rsidP="00C206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2 процессора,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10 ядер/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20 потоков, частота не менее 2,4 ГГц в базовых частотах, не менее 3,2ГГц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турборежиме,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13,75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Мбайт кэш-памяти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ниже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3-го уровня, литография не выше 14нм,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теплопакет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не выше 100Вт</w:t>
            </w:r>
          </w:p>
          <w:p w:rsidR="00C206DE" w:rsidRPr="002F2F8C" w:rsidRDefault="00C206DE" w:rsidP="00C20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 ниже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DDR4-2933МГц RDIMM с технологией ECC</w:t>
            </w:r>
          </w:p>
          <w:p w:rsidR="00C206DE" w:rsidRPr="002F2F8C" w:rsidRDefault="00C206DE" w:rsidP="00C20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Слоты памяти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  <w:p w:rsidR="00C206DE" w:rsidRPr="002F2F8C" w:rsidRDefault="00C206DE" w:rsidP="00C20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Накопители, контроллер накопителей</w:t>
            </w:r>
          </w:p>
          <w:p w:rsidR="00C206DE" w:rsidRPr="002F2F8C" w:rsidRDefault="00C206DE" w:rsidP="000D3C4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Накопители: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не ниже следующих: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, скорость последовательного чтения/записи данных не ниже 500/300 МБ/с, емкостью не ниже 256Гбайт, форм-фактор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ниже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2,5 дюйма (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SFF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), не менее 1шт.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Не ниже следующих: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.2, емкостью не ниже 512Гбайт, поддержка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NVMe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, скорость последовательного чтения/записи данных не ниже 1500/350МБ/с, установленный в карту расширения для слота </w:t>
            </w:r>
            <w:r w:rsidR="0099748D"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ниже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8, не менее 1шт.</w:t>
            </w:r>
          </w:p>
          <w:p w:rsidR="00C206DE" w:rsidRPr="002F2F8C" w:rsidRDefault="00C206DE" w:rsidP="00C206D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Контроллер накопителей: количество не менее 2-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штук, не ниже следующих характеристик: 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>встроенный не менее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4-х портовый с поддержкой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AHCI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 менее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6.0Гб/сек, с поддержкой программных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RAID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-массивов 0,1,5,1.</w:t>
            </w:r>
          </w:p>
          <w:p w:rsidR="000D3C48" w:rsidRPr="002F2F8C" w:rsidRDefault="000D3C48" w:rsidP="000D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Слоты расширения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– х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слотов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не ниже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PCIe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3.0</w:t>
            </w:r>
          </w:p>
          <w:p w:rsidR="000D3C48" w:rsidRPr="002F2F8C" w:rsidRDefault="000D3C48" w:rsidP="000D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Сетевой адаптер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Встроенный, не менее 4-х портов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10/100/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 не более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1000Мбит/сек с авто-определением</w:t>
            </w:r>
          </w:p>
          <w:p w:rsidR="000D3C48" w:rsidRPr="002F2F8C" w:rsidRDefault="000D3C48" w:rsidP="000D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Видео адаптер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Базовая частота графического процессора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менее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1400МГц, тип оперативной памяти не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ниже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6, объем не менее 24ГБ, эффективная частота памяти не ниже 14000 МГц ширина шины памяти не ниже 384 бит, подключение по интерфейсу не ниже PCI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3.0 x 16, производительност</w:t>
            </w:r>
            <w:r w:rsidR="002F2F8C" w:rsidRPr="002F2F8C">
              <w:rPr>
                <w:rFonts w:ascii="Times New Roman" w:hAnsi="Times New Roman" w:cs="Times New Roman"/>
                <w:sz w:val="20"/>
                <w:szCs w:val="20"/>
              </w:rPr>
              <w:t>ь операций с плавающей точкой не менее</w:t>
            </w:r>
            <w:r w:rsidR="002F2F8C"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16,3 </w:t>
            </w:r>
            <w:r w:rsidRPr="00E02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TFLOPS</w:t>
            </w:r>
            <w:r w:rsidR="00E028BA" w:rsidRPr="00E028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028BA" w:rsidRPr="00E028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терафлопс</w:t>
            </w:r>
            <w:proofErr w:type="spellEnd"/>
            <w:r w:rsidR="00E028BA" w:rsidRPr="00E028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28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пропускная способность памяти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более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672 Гбайт/сек, количество универсальных ядер не менее 4608, количество портов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Display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4, наличие порта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USB-C,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графических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не ниже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Shader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5.1,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 ниже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OpenGL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4.6,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ниже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12.0,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ниже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Vulkan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1.1. Максимальная потребляемая мощность-не более 295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Ватт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3C48" w:rsidRPr="002F2F8C" w:rsidRDefault="000D3C48" w:rsidP="000D3C4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Не менее двух независимых блоков питания, каждый не менее 1600Вт с поддержкой активной коррекции коэффициента мощности и эффективностью не ниже 90% и с возможностью горячей замены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0D3C48" w:rsidRPr="002F2F8C" w:rsidRDefault="00E028BA" w:rsidP="00C206D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28BA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64Bit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2015 года, с русской локализацией, встроенная возможность подключения к доменной сети AD, поддержка групповых политик, штатные средства запуска виртуальных машин, вшитый образ ОС с возможностью восстановления системы путем нажатия «горячих </w:t>
            </w:r>
            <w:r w:rsidRPr="002F2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клавиш» без применения установочного диска ОС на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также предустановленная </w:t>
            </w:r>
            <w:r w:rsidR="00685526" w:rsidRPr="00E028B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  <w:r w:rsidR="00685526"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 совместимо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с системой графического оформления телевизионного эфира </w:t>
            </w:r>
            <w:proofErr w:type="spellStart"/>
            <w:r w:rsidR="000D3C48" w:rsidRPr="002F2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VizRT</w:t>
            </w:r>
            <w:proofErr w:type="spellEnd"/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>VizEngine</w:t>
            </w:r>
            <w:proofErr w:type="spellEnd"/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ниже 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>3.8/3.9/3.10/3.11/4.0.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0D3C48"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D3C48" w:rsidRPr="002F2F8C" w:rsidRDefault="000D3C48" w:rsidP="000D3C4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Наличие механизма управления серверами в условиях отсутствия физического доступа к ним с функционалом графического веб-интерфейса, в том числе и полным удаленным управлением питания сервера, поддержки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SSL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-шифрования соединения и доступу к интерфейсам 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IPMI</w:t>
            </w: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работающего по собственному сетевому порту.</w:t>
            </w:r>
          </w:p>
          <w:p w:rsidR="00C206DE" w:rsidRPr="002F2F8C" w:rsidRDefault="000D3C48" w:rsidP="000D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набора телескопических рельс для монтажа сервера в серверную стойку.</w:t>
            </w:r>
          </w:p>
          <w:p w:rsidR="00C206DE" w:rsidRPr="002F2F8C" w:rsidRDefault="000D3C48" w:rsidP="00382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Потенциальный поставщик в рамках </w:t>
            </w:r>
            <w:r w:rsidR="00382C1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тендерной </w:t>
            </w: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заявки должен приложить авторизационное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0D3C48" w:rsidRPr="002F2F8C" w:rsidTr="00310E41">
        <w:tc>
          <w:tcPr>
            <w:tcW w:w="425" w:type="dxa"/>
          </w:tcPr>
          <w:p w:rsidR="0077042F" w:rsidRPr="002F2F8C" w:rsidRDefault="000C1E15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товаров)</w:t>
            </w:r>
          </w:p>
        </w:tc>
        <w:tc>
          <w:tcPr>
            <w:tcW w:w="6520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Поставщик также должен предусмотреть: установку/диагностику/тестирование, транспортировку всего оборудования.</w:t>
            </w:r>
          </w:p>
        </w:tc>
      </w:tr>
      <w:tr w:rsidR="000D3C48" w:rsidRPr="002F2F8C" w:rsidTr="00310E41">
        <w:tc>
          <w:tcPr>
            <w:tcW w:w="425" w:type="dxa"/>
          </w:tcPr>
          <w:p w:rsidR="0077042F" w:rsidRPr="002F2F8C" w:rsidRDefault="000C1E15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Условия к потенциальному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поставщику в случае определения его победителем и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заключения с ним договора о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закупках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(указываются при необходимости) (Отклонение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потенциального поставщика за не указание и непредставление</w:t>
            </w:r>
          </w:p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3C48" w:rsidRPr="002F2F8C" w:rsidTr="00310E41">
        <w:tc>
          <w:tcPr>
            <w:tcW w:w="425" w:type="dxa"/>
          </w:tcPr>
          <w:p w:rsidR="0077042F" w:rsidRPr="002F2F8C" w:rsidRDefault="000C1E15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6520" w:type="dxa"/>
          </w:tcPr>
          <w:p w:rsidR="0077042F" w:rsidRPr="002F2F8C" w:rsidRDefault="000D3C48" w:rsidP="00310E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 рабочих дней со дня заключения договора</w:t>
            </w:r>
          </w:p>
        </w:tc>
      </w:tr>
      <w:tr w:rsidR="000D3C48" w:rsidRPr="002F2F8C" w:rsidTr="00310E41">
        <w:tc>
          <w:tcPr>
            <w:tcW w:w="425" w:type="dxa"/>
          </w:tcPr>
          <w:p w:rsidR="0077042F" w:rsidRPr="002F2F8C" w:rsidRDefault="000C1E15" w:rsidP="00310E4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3" w:type="dxa"/>
          </w:tcPr>
          <w:p w:rsidR="0077042F" w:rsidRPr="002F2F8C" w:rsidRDefault="0077042F" w:rsidP="00310E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eastAsia="Calibri" w:hAnsi="Times New Roman" w:cs="Times New Roman"/>
                <w:sz w:val="20"/>
                <w:szCs w:val="20"/>
              </w:rPr>
              <w:t>Место поставки товара</w:t>
            </w:r>
          </w:p>
        </w:tc>
        <w:tc>
          <w:tcPr>
            <w:tcW w:w="6520" w:type="dxa"/>
          </w:tcPr>
          <w:p w:rsidR="0077042F" w:rsidRPr="002F2F8C" w:rsidRDefault="0077042F" w:rsidP="0031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 xml:space="preserve">-Султан, район "Есиль", ул. Д. </w:t>
            </w:r>
            <w:proofErr w:type="spellStart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Конаева</w:t>
            </w:r>
            <w:proofErr w:type="spellEnd"/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, 4.</w:t>
            </w:r>
          </w:p>
        </w:tc>
      </w:tr>
    </w:tbl>
    <w:p w:rsidR="00637300" w:rsidRPr="002F2F8C" w:rsidRDefault="000C1E15" w:rsidP="000C1E15">
      <w:pPr>
        <w:spacing w:after="0"/>
        <w:rPr>
          <w:rFonts w:ascii="Times New Roman" w:hAnsi="Times New Roman"/>
          <w:b/>
          <w:sz w:val="20"/>
          <w:szCs w:val="20"/>
        </w:rPr>
      </w:pPr>
      <w:r w:rsidRPr="002F2F8C">
        <w:rPr>
          <w:rFonts w:ascii="Times New Roman" w:hAnsi="Times New Roman"/>
          <w:b/>
          <w:sz w:val="20"/>
          <w:szCs w:val="20"/>
        </w:rPr>
        <w:t xml:space="preserve">                      </w:t>
      </w:r>
    </w:p>
    <w:p w:rsidR="00637300" w:rsidRPr="002F2F8C" w:rsidRDefault="00637300" w:rsidP="000C1E1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37300" w:rsidRPr="002F2F8C" w:rsidRDefault="00637300" w:rsidP="000C1E1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37300" w:rsidRPr="002F2F8C" w:rsidRDefault="00637300" w:rsidP="000C1E1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37300" w:rsidRPr="002F2F8C" w:rsidRDefault="00637300" w:rsidP="000C1E1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F2F8C" w:rsidRPr="001B75CC" w:rsidRDefault="001B75CC" w:rsidP="00637300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bookmarkStart w:id="0" w:name="_GoBack"/>
      <w:bookmarkEnd w:id="0"/>
    </w:p>
    <w:p w:rsidR="00AC4778" w:rsidRPr="001B75CC" w:rsidRDefault="002F2F8C" w:rsidP="0080077A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 w:rsidR="001B75CC">
        <w:rPr>
          <w:rFonts w:ascii="Times New Roman" w:hAnsi="Times New Roman"/>
          <w:b/>
          <w:sz w:val="20"/>
          <w:szCs w:val="20"/>
          <w:lang w:val="kk-KZ"/>
        </w:rPr>
        <w:t xml:space="preserve">                        </w:t>
      </w:r>
    </w:p>
    <w:p w:rsidR="000C1E15" w:rsidRPr="002F2F8C" w:rsidRDefault="000C1E15" w:rsidP="0080077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C1E15" w:rsidRPr="002F2F8C" w:rsidRDefault="000C1E15" w:rsidP="0080077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C4778" w:rsidRPr="002F2F8C" w:rsidRDefault="00AC4778" w:rsidP="00AC4778">
      <w:pPr>
        <w:ind w:firstLine="720"/>
        <w:rPr>
          <w:rFonts w:ascii="Times New Roman" w:hAnsi="Times New Roman"/>
          <w:sz w:val="20"/>
          <w:szCs w:val="20"/>
        </w:rPr>
      </w:pPr>
    </w:p>
    <w:sectPr w:rsidR="00AC4778" w:rsidRPr="002F2F8C" w:rsidSect="0077042F">
      <w:pgSz w:w="11906" w:h="16840"/>
      <w:pgMar w:top="1020" w:right="1276" w:bottom="1020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D"/>
    <w:rsid w:val="00003743"/>
    <w:rsid w:val="00081E54"/>
    <w:rsid w:val="00095D6E"/>
    <w:rsid w:val="000C1E15"/>
    <w:rsid w:val="000D3C48"/>
    <w:rsid w:val="000E3DAF"/>
    <w:rsid w:val="00137D79"/>
    <w:rsid w:val="00142845"/>
    <w:rsid w:val="0015485D"/>
    <w:rsid w:val="00175F04"/>
    <w:rsid w:val="00187E7A"/>
    <w:rsid w:val="001B75CC"/>
    <w:rsid w:val="001C533D"/>
    <w:rsid w:val="001E03F7"/>
    <w:rsid w:val="00201C7F"/>
    <w:rsid w:val="00210DA5"/>
    <w:rsid w:val="002D5FF1"/>
    <w:rsid w:val="002F2F8C"/>
    <w:rsid w:val="002F3F10"/>
    <w:rsid w:val="00303E17"/>
    <w:rsid w:val="00307D2F"/>
    <w:rsid w:val="00310E41"/>
    <w:rsid w:val="003254B7"/>
    <w:rsid w:val="00367BA6"/>
    <w:rsid w:val="00382C1D"/>
    <w:rsid w:val="00384284"/>
    <w:rsid w:val="0038796A"/>
    <w:rsid w:val="00395E7A"/>
    <w:rsid w:val="003F2E2A"/>
    <w:rsid w:val="003F4EBB"/>
    <w:rsid w:val="00425845"/>
    <w:rsid w:val="00447371"/>
    <w:rsid w:val="00475CFF"/>
    <w:rsid w:val="004C194B"/>
    <w:rsid w:val="004D53FC"/>
    <w:rsid w:val="00505EF2"/>
    <w:rsid w:val="00542420"/>
    <w:rsid w:val="00583C68"/>
    <w:rsid w:val="005D07F6"/>
    <w:rsid w:val="005E5F70"/>
    <w:rsid w:val="006054A7"/>
    <w:rsid w:val="00626381"/>
    <w:rsid w:val="00634BE3"/>
    <w:rsid w:val="00637300"/>
    <w:rsid w:val="00664BD4"/>
    <w:rsid w:val="00675B44"/>
    <w:rsid w:val="00685526"/>
    <w:rsid w:val="00696328"/>
    <w:rsid w:val="006C3BD2"/>
    <w:rsid w:val="006C3CC9"/>
    <w:rsid w:val="006C44D8"/>
    <w:rsid w:val="006D5B48"/>
    <w:rsid w:val="006F0CF6"/>
    <w:rsid w:val="00760E2A"/>
    <w:rsid w:val="0077042F"/>
    <w:rsid w:val="00780A45"/>
    <w:rsid w:val="007C2F00"/>
    <w:rsid w:val="0080077A"/>
    <w:rsid w:val="008232BC"/>
    <w:rsid w:val="00893694"/>
    <w:rsid w:val="008A1B71"/>
    <w:rsid w:val="008B2192"/>
    <w:rsid w:val="00911B6A"/>
    <w:rsid w:val="0092721B"/>
    <w:rsid w:val="0096292E"/>
    <w:rsid w:val="0099748D"/>
    <w:rsid w:val="009A1FF5"/>
    <w:rsid w:val="009A443D"/>
    <w:rsid w:val="009B7ABF"/>
    <w:rsid w:val="009E7327"/>
    <w:rsid w:val="00A2496F"/>
    <w:rsid w:val="00AA0486"/>
    <w:rsid w:val="00AB4CF1"/>
    <w:rsid w:val="00AB7FF3"/>
    <w:rsid w:val="00AC4778"/>
    <w:rsid w:val="00AC48B1"/>
    <w:rsid w:val="00AD4B11"/>
    <w:rsid w:val="00AF703B"/>
    <w:rsid w:val="00B01FEF"/>
    <w:rsid w:val="00B2044F"/>
    <w:rsid w:val="00B50754"/>
    <w:rsid w:val="00B56B74"/>
    <w:rsid w:val="00B57AE9"/>
    <w:rsid w:val="00B84165"/>
    <w:rsid w:val="00B9760B"/>
    <w:rsid w:val="00BA0FFA"/>
    <w:rsid w:val="00BD7BDC"/>
    <w:rsid w:val="00C206DE"/>
    <w:rsid w:val="00C3353B"/>
    <w:rsid w:val="00CB4C19"/>
    <w:rsid w:val="00D11F6B"/>
    <w:rsid w:val="00D42E11"/>
    <w:rsid w:val="00D74F83"/>
    <w:rsid w:val="00D94FD2"/>
    <w:rsid w:val="00DD7842"/>
    <w:rsid w:val="00E028BA"/>
    <w:rsid w:val="00E60F01"/>
    <w:rsid w:val="00E83B83"/>
    <w:rsid w:val="00EA1382"/>
    <w:rsid w:val="00EB7860"/>
    <w:rsid w:val="00ED6A97"/>
    <w:rsid w:val="00EF4211"/>
    <w:rsid w:val="00F13C4B"/>
    <w:rsid w:val="00F7561E"/>
    <w:rsid w:val="00FA7A9D"/>
    <w:rsid w:val="00FC0FD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CC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7042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CC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7042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1D7F-89F0-4F98-B776-29FEEA3E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</dc:creator>
  <cp:lastModifiedBy>Aimdos Alisher N.</cp:lastModifiedBy>
  <cp:revision>3</cp:revision>
  <cp:lastPrinted>2021-12-11T11:51:00Z</cp:lastPrinted>
  <dcterms:created xsi:type="dcterms:W3CDTF">2022-01-18T16:20:00Z</dcterms:created>
  <dcterms:modified xsi:type="dcterms:W3CDTF">2022-03-02T06:17:00Z</dcterms:modified>
</cp:coreProperties>
</file>