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</w:rPr>
      </w:pPr>
      <w:r w:rsidRPr="00400B10">
        <w:rPr>
          <w:rFonts w:ascii="Times New Roman" w:hAnsi="Times New Roman" w:cs="Times New Roman"/>
          <w:b/>
        </w:rPr>
        <w:t>ТЕХНИЧЕСКАЯ СПЕЦИФИКАЦИЯ</w:t>
      </w:r>
    </w:p>
    <w:p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400B1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643B53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643B53">
              <w:rPr>
                <w:rFonts w:ascii="Times New Roman" w:eastAsia="Calibri" w:hAnsi="Times New Roman" w:cs="Times New Roman"/>
              </w:rPr>
              <w:t>Беспроводная система ушного мониторинга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:rsidTr="008C2FA9">
        <w:trPr>
          <w:trHeight w:val="333"/>
        </w:trPr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379" w:type="dxa"/>
            <w:shd w:val="clear" w:color="auto" w:fill="auto"/>
          </w:tcPr>
          <w:p w:rsidR="003A7888" w:rsidRPr="00D86116" w:rsidRDefault="003442C3" w:rsidP="00D86116">
            <w:pPr>
              <w:pStyle w:val="a8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ранее </w:t>
            </w:r>
            <w:r w:rsidR="00F81842">
              <w:rPr>
                <w:rFonts w:ascii="Times New Roman" w:eastAsia="Calibri" w:hAnsi="Times New Roman" w:cs="Times New Roman"/>
              </w:rPr>
              <w:t>20</w:t>
            </w:r>
            <w:r w:rsidR="00D86116">
              <w:rPr>
                <w:rFonts w:ascii="Times New Roman" w:eastAsia="Calibri" w:hAnsi="Times New Roman" w:cs="Times New Roman"/>
                <w:lang w:val="kk-KZ"/>
              </w:rPr>
              <w:t>20</w:t>
            </w:r>
            <w:r w:rsidR="00676977">
              <w:rPr>
                <w:rFonts w:ascii="Times New Roman" w:eastAsia="Calibri" w:hAnsi="Times New Roman" w:cs="Times New Roman"/>
                <w:lang w:val="kk-KZ"/>
              </w:rPr>
              <w:t xml:space="preserve"> года 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E87B3E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379" w:type="dxa"/>
            <w:shd w:val="clear" w:color="auto" w:fill="auto"/>
          </w:tcPr>
          <w:p w:rsidR="00435508" w:rsidRDefault="00643B53" w:rsidP="00D618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643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войная беспроводная система персо</w:t>
            </w:r>
            <w:r w:rsidR="00D618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нального мониторинга. </w:t>
            </w:r>
          </w:p>
          <w:p w:rsidR="00D6184F" w:rsidRDefault="00D6184F" w:rsidP="00D618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Рабочие частоты: 566-608 МГц;</w:t>
            </w:r>
          </w:p>
          <w:p w:rsidR="00D6184F" w:rsidRDefault="00D6184F" w:rsidP="00D618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618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Получение частот: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 более</w:t>
            </w:r>
            <w:r w:rsidRPr="00D618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1680 частот приема с шагом регулировки 25 кГц; 20 комплектов частот, в каждом из которых – до 16 настроенных каналов, без интермодуляции; 6 комплектов частот, в каждом из которых – до 16 программируемых каналов.</w:t>
            </w:r>
          </w:p>
          <w:p w:rsidR="00D6184F" w:rsidRDefault="00D6184F" w:rsidP="00D618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618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Максимальная ширина рабочей п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олосы частот: 42 МГц;</w:t>
            </w:r>
            <w:r w:rsidRPr="00D618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Номинальная/пиков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ая девиация: +/-24 и +/-48 кГц;</w:t>
            </w:r>
          </w:p>
          <w:p w:rsidR="00D6184F" w:rsidRDefault="00D6184F" w:rsidP="00D618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618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Компандер: </w:t>
            </w:r>
            <w:proofErr w:type="spellStart"/>
            <w:r w:rsidRPr="00D618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Sennheiser</w:t>
            </w:r>
            <w:proofErr w:type="spellEnd"/>
            <w:r w:rsidRPr="00D618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HDX.</w:t>
            </w:r>
          </w:p>
          <w:p w:rsidR="00D6184F" w:rsidRPr="00D6184F" w:rsidRDefault="00D6184F" w:rsidP="00D618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618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КНИ</w:t>
            </w:r>
            <w:r w:rsidR="004355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D222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="00D22268" w:rsidRPr="00D222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Коэффициент нелинейных искажений</w:t>
            </w:r>
            <w:r w:rsidR="00D222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Pr="00D618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r w:rsidR="00D222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 более</w:t>
            </w:r>
            <w:r w:rsidRPr="00D618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0,9%.</w:t>
            </w:r>
          </w:p>
          <w:p w:rsidR="00D22268" w:rsidRDefault="00D22268" w:rsidP="00D22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D2226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Стерео</w:t>
            </w:r>
            <w:r w:rsidR="00865CC6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</w:t>
            </w:r>
            <w:r w:rsidRPr="00D2226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приемник: </w:t>
            </w:r>
          </w:p>
          <w:p w:rsidR="00D22268" w:rsidRDefault="00D22268" w:rsidP="00D22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D2226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Широкополосная частотная модуляция. </w:t>
            </w:r>
          </w:p>
          <w:p w:rsidR="00D22268" w:rsidRDefault="00D22268" w:rsidP="00D22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D2226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Чувствительность: меньше 4 мкВ для 52 дБА. </w:t>
            </w:r>
          </w:p>
          <w:p w:rsidR="00D22268" w:rsidRDefault="00D22268" w:rsidP="00D22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D2226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Ослабление интермодуляции: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не менее </w:t>
            </w:r>
            <w:r w:rsidRPr="00D2226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70 дБ </w:t>
            </w:r>
          </w:p>
          <w:p w:rsidR="00D22268" w:rsidRDefault="00D22268" w:rsidP="00D22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D2226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Подавление помех смежного канала: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не менее </w:t>
            </w:r>
            <w:r w:rsidRPr="00D2226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65 дБ Блокировка: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не менее</w:t>
            </w:r>
            <w:r w:rsidRPr="00D2226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80 дБ. </w:t>
            </w:r>
          </w:p>
          <w:p w:rsidR="00D22268" w:rsidRDefault="00D22268" w:rsidP="00D22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D2226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Подавление: от 5 до 25 дБмкВ, шаг в 2 дБ. </w:t>
            </w:r>
          </w:p>
          <w:p w:rsidR="00D22268" w:rsidRDefault="00D22268" w:rsidP="00D22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D2226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Отношение сигнала к шуму: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не более</w:t>
            </w:r>
            <w:r w:rsidRPr="00D2226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90 дБА. </w:t>
            </w:r>
          </w:p>
          <w:p w:rsidR="00D22268" w:rsidRDefault="00D22268" w:rsidP="00D22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D2226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Выходная мощность: 2x100 мВт на 32 Ом. </w:t>
            </w:r>
          </w:p>
          <w:p w:rsidR="00D22268" w:rsidRDefault="00D22268" w:rsidP="00D22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D2226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Усиление басов: +8 дБ при 80 кГц. </w:t>
            </w:r>
          </w:p>
          <w:p w:rsidR="00D22268" w:rsidRDefault="00D22268" w:rsidP="00D22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D2226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Лимитер: от -18 до -6 дБ, настройка с шагом 6 дБ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.</w:t>
            </w:r>
          </w:p>
          <w:p w:rsidR="00D22268" w:rsidRDefault="00D22268" w:rsidP="00D22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D2226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Питание: от 2 батареек АА (1,5 В, длительность работы: в зависимости от громкости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не менее</w:t>
            </w:r>
            <w:r w:rsidRPr="00D2226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4-6 часов. </w:t>
            </w:r>
          </w:p>
          <w:p w:rsidR="00D22268" w:rsidRDefault="00D22268" w:rsidP="00D22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D2226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Коннектор: мини-джек plug 3,5 мм. </w:t>
            </w:r>
          </w:p>
          <w:p w:rsidR="00D22268" w:rsidRDefault="00D22268" w:rsidP="00D22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Г</w:t>
            </w:r>
            <w:r w:rsidRPr="00D2226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абариты: 82x64x24 мм. </w:t>
            </w:r>
          </w:p>
          <w:p w:rsidR="00D22268" w:rsidRPr="00D22268" w:rsidRDefault="00D22268" w:rsidP="00D22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В</w:t>
            </w:r>
            <w:r w:rsidRPr="00D2226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ес вместе с батарейками: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не меннее </w:t>
            </w:r>
            <w:r w:rsidRPr="00D2226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125 грамм.</w:t>
            </w:r>
          </w:p>
          <w:p w:rsidR="00D22268" w:rsidRDefault="00D22268" w:rsidP="00D22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2226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Наушники: </w:t>
            </w:r>
          </w:p>
          <w:p w:rsidR="00D22268" w:rsidRDefault="00D22268" w:rsidP="00D22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22268">
              <w:rPr>
                <w:rFonts w:ascii="Times New Roman" w:hAnsi="Times New Roman" w:cs="Times New Roman"/>
                <w:shd w:val="clear" w:color="auto" w:fill="FFFFFF"/>
              </w:rPr>
              <w:t xml:space="preserve">Тип динамиков: динамические. </w:t>
            </w:r>
          </w:p>
          <w:p w:rsidR="00D22268" w:rsidRDefault="00D22268" w:rsidP="00D22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22268">
              <w:rPr>
                <w:rFonts w:ascii="Times New Roman" w:hAnsi="Times New Roman" w:cs="Times New Roman"/>
                <w:shd w:val="clear" w:color="auto" w:fill="FFFFFF"/>
              </w:rPr>
              <w:t xml:space="preserve">Сопротивление (номинал): 16 Ом. </w:t>
            </w:r>
          </w:p>
          <w:p w:rsidR="00D22268" w:rsidRDefault="00D22268" w:rsidP="00D22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22268">
              <w:rPr>
                <w:rFonts w:ascii="Times New Roman" w:hAnsi="Times New Roman" w:cs="Times New Roman"/>
                <w:shd w:val="clear" w:color="auto" w:fill="FFFFFF"/>
              </w:rPr>
              <w:t xml:space="preserve">Звуковое давление: 106 дБ. </w:t>
            </w:r>
          </w:p>
          <w:p w:rsidR="00D22268" w:rsidRDefault="00D22268" w:rsidP="00D22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22268">
              <w:rPr>
                <w:rFonts w:ascii="Times New Roman" w:hAnsi="Times New Roman" w:cs="Times New Roman"/>
                <w:shd w:val="clear" w:color="auto" w:fill="FFFFFF"/>
              </w:rPr>
              <w:t>Коннектор: мини-</w:t>
            </w:r>
            <w:proofErr w:type="spellStart"/>
            <w:r w:rsidRPr="00D22268">
              <w:rPr>
                <w:rFonts w:ascii="Times New Roman" w:hAnsi="Times New Roman" w:cs="Times New Roman"/>
                <w:shd w:val="clear" w:color="auto" w:fill="FFFFFF"/>
              </w:rPr>
              <w:t>джек</w:t>
            </w:r>
            <w:proofErr w:type="spellEnd"/>
            <w:r w:rsidRPr="00D22268">
              <w:rPr>
                <w:rFonts w:ascii="Times New Roman" w:hAnsi="Times New Roman" w:cs="Times New Roman"/>
                <w:shd w:val="clear" w:color="auto" w:fill="FFFFFF"/>
              </w:rPr>
              <w:t xml:space="preserve"> 3,5 мм. </w:t>
            </w:r>
          </w:p>
          <w:p w:rsidR="00D22268" w:rsidRPr="00D22268" w:rsidRDefault="00D22268" w:rsidP="00D22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22268">
              <w:rPr>
                <w:rFonts w:ascii="Times New Roman" w:hAnsi="Times New Roman" w:cs="Times New Roman"/>
                <w:shd w:val="clear" w:color="auto" w:fill="FFFFFF"/>
              </w:rPr>
              <w:t xml:space="preserve">Кабель: усиленный </w:t>
            </w:r>
            <w:proofErr w:type="spellStart"/>
            <w:r w:rsidRPr="00D22268">
              <w:rPr>
                <w:rFonts w:ascii="Times New Roman" w:hAnsi="Times New Roman" w:cs="Times New Roman"/>
                <w:shd w:val="clear" w:color="auto" w:fill="FFFFFF"/>
              </w:rPr>
              <w:t>кевларом</w:t>
            </w:r>
            <w:proofErr w:type="spellEnd"/>
            <w:r w:rsidRPr="00D22268">
              <w:rPr>
                <w:rFonts w:ascii="Times New Roman" w:hAnsi="Times New Roman" w:cs="Times New Roman"/>
                <w:shd w:val="clear" w:color="auto" w:fill="FFFFFF"/>
              </w:rPr>
              <w:t xml:space="preserve">, длиной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не менее </w:t>
            </w:r>
            <w:r w:rsidRPr="00D22268">
              <w:rPr>
                <w:rFonts w:ascii="Times New Roman" w:hAnsi="Times New Roman" w:cs="Times New Roman"/>
                <w:shd w:val="clear" w:color="auto" w:fill="FFFFFF"/>
              </w:rPr>
              <w:t>1,2 метров.</w:t>
            </w:r>
          </w:p>
          <w:p w:rsidR="00D22268" w:rsidRDefault="00D22268" w:rsidP="00D22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22268">
              <w:rPr>
                <w:rFonts w:ascii="Times New Roman" w:hAnsi="Times New Roman" w:cs="Times New Roman"/>
                <w:shd w:val="clear" w:color="auto" w:fill="FFFFFF"/>
              </w:rPr>
              <w:t>Стерео</w:t>
            </w:r>
            <w:r w:rsidR="006B6DF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22268">
              <w:rPr>
                <w:rFonts w:ascii="Times New Roman" w:hAnsi="Times New Roman" w:cs="Times New Roman"/>
                <w:shd w:val="clear" w:color="auto" w:fill="FFFFFF"/>
              </w:rPr>
              <w:t>передатчик:</w:t>
            </w:r>
          </w:p>
          <w:p w:rsidR="00E1322E" w:rsidRDefault="00D22268" w:rsidP="00D22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22268">
              <w:rPr>
                <w:rFonts w:ascii="Times New Roman" w:hAnsi="Times New Roman" w:cs="Times New Roman"/>
                <w:shd w:val="clear" w:color="auto" w:fill="FFFFFF"/>
              </w:rPr>
              <w:t>Стерео широкополосная частотная модуляция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D22268">
              <w:rPr>
                <w:rFonts w:ascii="Times New Roman" w:hAnsi="Times New Roman" w:cs="Times New Roman"/>
                <w:shd w:val="clear" w:color="auto" w:fill="FFFFFF"/>
              </w:rPr>
              <w:t xml:space="preserve"> Частоты/девиация: 19 кГц и +/- 5 кГц. </w:t>
            </w:r>
          </w:p>
          <w:p w:rsidR="00E1322E" w:rsidRDefault="00D22268" w:rsidP="00D22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22268">
              <w:rPr>
                <w:rFonts w:ascii="Times New Roman" w:hAnsi="Times New Roman" w:cs="Times New Roman"/>
                <w:shd w:val="clear" w:color="auto" w:fill="FFFFFF"/>
              </w:rPr>
              <w:t xml:space="preserve">Стабильность несущей частоты: +/-10 миллионных долей. Антенный разъем: BNC, 50 Ом. </w:t>
            </w:r>
          </w:p>
          <w:p w:rsidR="00E1322E" w:rsidRDefault="00D22268" w:rsidP="00D22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22268">
              <w:rPr>
                <w:rFonts w:ascii="Times New Roman" w:hAnsi="Times New Roman" w:cs="Times New Roman"/>
                <w:shd w:val="clear" w:color="auto" w:fill="FFFFFF"/>
              </w:rPr>
              <w:t>Переключаемая РЧ-мощность (на 50 Ом): низкая 10 мВт/стандартная 30 мВт/высокая 50 мВт.</w:t>
            </w:r>
          </w:p>
          <w:p w:rsidR="00E1322E" w:rsidRDefault="00D22268" w:rsidP="00D22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22268">
              <w:rPr>
                <w:rFonts w:ascii="Times New Roman" w:hAnsi="Times New Roman" w:cs="Times New Roman"/>
                <w:shd w:val="clear" w:color="auto" w:fill="FFFFFF"/>
              </w:rPr>
              <w:t>Аудио</w:t>
            </w:r>
            <w:r w:rsidR="00E1322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22268">
              <w:rPr>
                <w:rFonts w:ascii="Times New Roman" w:hAnsi="Times New Roman" w:cs="Times New Roman"/>
                <w:shd w:val="clear" w:color="auto" w:fill="FFFFFF"/>
              </w:rPr>
              <w:t>частоты: 25-15 000 Гц.</w:t>
            </w:r>
          </w:p>
          <w:p w:rsidR="00E1322E" w:rsidRDefault="00D22268" w:rsidP="00D22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22268">
              <w:rPr>
                <w:rFonts w:ascii="Times New Roman" w:hAnsi="Times New Roman" w:cs="Times New Roman"/>
                <w:shd w:val="clear" w:color="auto" w:fill="FFFFFF"/>
              </w:rPr>
              <w:t xml:space="preserve">Аудиовходы: </w:t>
            </w:r>
            <w:r w:rsidR="00E1322E">
              <w:rPr>
                <w:rFonts w:ascii="Times New Roman" w:hAnsi="Times New Roman" w:cs="Times New Roman"/>
                <w:shd w:val="clear" w:color="auto" w:fill="FFFFFF"/>
              </w:rPr>
              <w:t xml:space="preserve">не менее </w:t>
            </w:r>
            <w:r w:rsidRPr="00D22268">
              <w:rPr>
                <w:rFonts w:ascii="Times New Roman" w:hAnsi="Times New Roman" w:cs="Times New Roman"/>
                <w:shd w:val="clear" w:color="auto" w:fill="FFFFFF"/>
              </w:rPr>
              <w:t xml:space="preserve">2 на </w:t>
            </w:r>
            <w:proofErr w:type="spellStart"/>
            <w:r w:rsidRPr="00D22268">
              <w:rPr>
                <w:rFonts w:ascii="Times New Roman" w:hAnsi="Times New Roman" w:cs="Times New Roman"/>
                <w:shd w:val="clear" w:color="auto" w:fill="FFFFFF"/>
              </w:rPr>
              <w:t>комборазъем</w:t>
            </w:r>
            <w:r w:rsidR="00E1322E">
              <w:rPr>
                <w:rFonts w:ascii="Times New Roman" w:hAnsi="Times New Roman" w:cs="Times New Roman"/>
                <w:shd w:val="clear" w:color="auto" w:fill="FFFFFF"/>
              </w:rPr>
              <w:t>ах</w:t>
            </w:r>
            <w:proofErr w:type="spellEnd"/>
            <w:r w:rsidR="00E1322E">
              <w:rPr>
                <w:rFonts w:ascii="Times New Roman" w:hAnsi="Times New Roman" w:cs="Times New Roman"/>
                <w:shd w:val="clear" w:color="auto" w:fill="FFFFFF"/>
              </w:rPr>
              <w:t xml:space="preserve"> XLR/1/4 дюйма </w:t>
            </w:r>
            <w:proofErr w:type="spellStart"/>
            <w:r w:rsidR="00E1322E">
              <w:rPr>
                <w:rFonts w:ascii="Times New Roman" w:hAnsi="Times New Roman" w:cs="Times New Roman"/>
                <w:shd w:val="clear" w:color="auto" w:fill="FFFFFF"/>
              </w:rPr>
              <w:t>джек</w:t>
            </w:r>
            <w:proofErr w:type="spellEnd"/>
            <w:r w:rsidRPr="00D22268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:rsidR="00E1322E" w:rsidRDefault="00D22268" w:rsidP="00D22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22268">
              <w:rPr>
                <w:rFonts w:ascii="Times New Roman" w:hAnsi="Times New Roman" w:cs="Times New Roman"/>
                <w:shd w:val="clear" w:color="auto" w:fill="FFFFFF"/>
              </w:rPr>
              <w:t xml:space="preserve">Входное напряжение: </w:t>
            </w:r>
            <w:r w:rsidR="00E1322E">
              <w:rPr>
                <w:rFonts w:ascii="Times New Roman" w:hAnsi="Times New Roman" w:cs="Times New Roman"/>
                <w:shd w:val="clear" w:color="auto" w:fill="FFFFFF"/>
              </w:rPr>
              <w:t>не более</w:t>
            </w:r>
            <w:r w:rsidRPr="00D22268">
              <w:rPr>
                <w:rFonts w:ascii="Times New Roman" w:hAnsi="Times New Roman" w:cs="Times New Roman"/>
                <w:shd w:val="clear" w:color="auto" w:fill="FFFFFF"/>
              </w:rPr>
              <w:t xml:space="preserve"> +22 </w:t>
            </w:r>
            <w:proofErr w:type="spellStart"/>
            <w:r w:rsidRPr="00D22268">
              <w:rPr>
                <w:rFonts w:ascii="Times New Roman" w:hAnsi="Times New Roman" w:cs="Times New Roman"/>
                <w:shd w:val="clear" w:color="auto" w:fill="FFFFFF"/>
              </w:rPr>
              <w:t>дБн</w:t>
            </w:r>
            <w:proofErr w:type="spellEnd"/>
            <w:r w:rsidRPr="00D22268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:rsidR="00E1322E" w:rsidRDefault="00D22268" w:rsidP="00D22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22268">
              <w:rPr>
                <w:rFonts w:ascii="Times New Roman" w:hAnsi="Times New Roman" w:cs="Times New Roman"/>
                <w:shd w:val="clear" w:color="auto" w:fill="FFFFFF"/>
              </w:rPr>
              <w:t xml:space="preserve">Отношение сигнала к шуму: </w:t>
            </w:r>
            <w:r w:rsidR="00E1322E">
              <w:rPr>
                <w:rFonts w:ascii="Times New Roman" w:hAnsi="Times New Roman" w:cs="Times New Roman"/>
                <w:shd w:val="clear" w:color="auto" w:fill="FFFFFF"/>
              </w:rPr>
              <w:t>не менее 90 дБ</w:t>
            </w:r>
            <w:r w:rsidRPr="00D22268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:rsidR="00E1322E" w:rsidRDefault="00D22268" w:rsidP="00D22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22268">
              <w:rPr>
                <w:rFonts w:ascii="Times New Roman" w:hAnsi="Times New Roman" w:cs="Times New Roman"/>
                <w:shd w:val="clear" w:color="auto" w:fill="FFFFFF"/>
              </w:rPr>
              <w:t>Аудиовыходы: левый и правый LOOP OUT BAL, 1/4 дюйма (6,3 мм) балансные стерео</w:t>
            </w:r>
            <w:r w:rsidR="0043550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22268">
              <w:rPr>
                <w:rFonts w:ascii="Times New Roman" w:hAnsi="Times New Roman" w:cs="Times New Roman"/>
                <w:shd w:val="clear" w:color="auto" w:fill="FFFFFF"/>
              </w:rPr>
              <w:t>джеки</w:t>
            </w:r>
            <w:proofErr w:type="spellEnd"/>
            <w:r w:rsidRPr="00D22268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:rsidR="00E1322E" w:rsidRDefault="00D22268" w:rsidP="00D22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22268">
              <w:rPr>
                <w:rFonts w:ascii="Times New Roman" w:hAnsi="Times New Roman" w:cs="Times New Roman"/>
                <w:shd w:val="clear" w:color="auto" w:fill="FFFFFF"/>
              </w:rPr>
              <w:t xml:space="preserve">Порт RJ-45. </w:t>
            </w:r>
          </w:p>
          <w:p w:rsidR="00E1322E" w:rsidRDefault="00E1322E" w:rsidP="00D22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Размер</w:t>
            </w:r>
            <w:r w:rsidR="00D22268" w:rsidRPr="00D22268">
              <w:rPr>
                <w:rFonts w:ascii="Times New Roman" w:hAnsi="Times New Roman" w:cs="Times New Roman"/>
                <w:shd w:val="clear" w:color="auto" w:fill="FFFFFF"/>
              </w:rPr>
              <w:t xml:space="preserve">: 202x212x43 мм. </w:t>
            </w:r>
          </w:p>
          <w:p w:rsidR="00D22268" w:rsidRDefault="00D22268" w:rsidP="00D22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22268">
              <w:rPr>
                <w:rFonts w:ascii="Times New Roman" w:hAnsi="Times New Roman" w:cs="Times New Roman"/>
                <w:shd w:val="clear" w:color="auto" w:fill="FFFFFF"/>
              </w:rPr>
              <w:t>Приблизительный вес:</w:t>
            </w:r>
            <w:r w:rsidR="00E1322E">
              <w:rPr>
                <w:rFonts w:ascii="Times New Roman" w:hAnsi="Times New Roman" w:cs="Times New Roman"/>
                <w:shd w:val="clear" w:color="auto" w:fill="FFFFFF"/>
              </w:rPr>
              <w:t xml:space="preserve"> не менее 97</w:t>
            </w:r>
            <w:r w:rsidRPr="00D22268">
              <w:rPr>
                <w:rFonts w:ascii="Times New Roman" w:hAnsi="Times New Roman" w:cs="Times New Roman"/>
                <w:shd w:val="clear" w:color="auto" w:fill="FFFFFF"/>
              </w:rPr>
              <w:t>0 грамм.</w:t>
            </w:r>
          </w:p>
          <w:p w:rsidR="00435508" w:rsidRPr="00D22268" w:rsidRDefault="00435508" w:rsidP="00D22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35508">
              <w:rPr>
                <w:rFonts w:ascii="Times New Roman" w:hAnsi="Times New Roman" w:cs="Times New Roman"/>
                <w:shd w:val="clear" w:color="auto" w:fill="FFFFFF"/>
              </w:rPr>
              <w:t>Комплект должен включать не менее двух поясных стерео</w:t>
            </w:r>
            <w:r w:rsidR="006B6DF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6B6DF4" w:rsidRPr="00435508">
              <w:rPr>
                <w:rFonts w:ascii="Times New Roman" w:hAnsi="Times New Roman" w:cs="Times New Roman"/>
                <w:shd w:val="clear" w:color="auto" w:fill="FFFFFF"/>
              </w:rPr>
              <w:t>приёмника</w:t>
            </w:r>
            <w:r w:rsidRPr="00435508">
              <w:rPr>
                <w:rFonts w:ascii="Times New Roman" w:hAnsi="Times New Roman" w:cs="Times New Roman"/>
                <w:shd w:val="clear" w:color="auto" w:fill="FFFFFF"/>
              </w:rPr>
              <w:t xml:space="preserve"> идентичный имеющим EK IEM G4, не менее двух пар вставных наушников идентичный имеющим IE 4, стерео</w:t>
            </w:r>
            <w:r w:rsidR="006B6DF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35508">
              <w:rPr>
                <w:rFonts w:ascii="Times New Roman" w:hAnsi="Times New Roman" w:cs="Times New Roman"/>
                <w:shd w:val="clear" w:color="auto" w:fill="FFFFFF"/>
              </w:rPr>
              <w:t xml:space="preserve">передатчик идентичный </w:t>
            </w:r>
            <w:r w:rsidR="006B6DF4" w:rsidRPr="00435508">
              <w:rPr>
                <w:rFonts w:ascii="Times New Roman" w:hAnsi="Times New Roman" w:cs="Times New Roman"/>
                <w:shd w:val="clear" w:color="auto" w:fill="FFFFFF"/>
              </w:rPr>
              <w:t>имеющему</w:t>
            </w:r>
            <w:r w:rsidRPr="00435508">
              <w:rPr>
                <w:rFonts w:ascii="Times New Roman" w:hAnsi="Times New Roman" w:cs="Times New Roman"/>
                <w:shd w:val="clear" w:color="auto" w:fill="FFFFFF"/>
              </w:rPr>
              <w:t xml:space="preserve"> SR IEM G4, стержневую антенну, не менее 4 батарейки АА, также крепление для монтажа.</w:t>
            </w:r>
          </w:p>
          <w:p w:rsidR="001B7126" w:rsidRDefault="00257E60" w:rsidP="00BA5E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E27A6">
              <w:rPr>
                <w:rFonts w:ascii="Times New Roman" w:hAnsi="Times New Roman" w:cs="Times New Roman"/>
                <w:shd w:val="clear" w:color="auto" w:fill="FFFFFF"/>
              </w:rPr>
              <w:t xml:space="preserve">Недопустимо </w:t>
            </w:r>
            <w:r w:rsidR="00C7147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поставка </w:t>
            </w:r>
            <w:r w:rsidR="00E1322E" w:rsidRPr="00643B53">
              <w:rPr>
                <w:rFonts w:ascii="Times New Roman" w:eastAsia="Calibri" w:hAnsi="Times New Roman" w:cs="Times New Roman"/>
              </w:rPr>
              <w:t>ушного мониторинга</w:t>
            </w:r>
            <w:r w:rsidR="0034088A">
              <w:rPr>
                <w:rFonts w:ascii="Times New Roman" w:hAnsi="Times New Roman" w:cs="Times New Roman"/>
                <w:shd w:val="clear" w:color="auto" w:fill="FFFFFF"/>
              </w:rPr>
              <w:t>, бывшего в употреблении, восстановленного, переработанного</w:t>
            </w:r>
            <w:r w:rsidRPr="002E27A6">
              <w:rPr>
                <w:rFonts w:ascii="Times New Roman" w:hAnsi="Times New Roman" w:cs="Times New Roman"/>
                <w:shd w:val="clear" w:color="auto" w:fill="FFFFFF"/>
              </w:rPr>
              <w:t xml:space="preserve"> или как</w:t>
            </w:r>
            <w:r w:rsidR="0034088A">
              <w:rPr>
                <w:rFonts w:ascii="Times New Roman" w:hAnsi="Times New Roman" w:cs="Times New Roman"/>
                <w:shd w:val="clear" w:color="auto" w:fill="FFFFFF"/>
              </w:rPr>
              <w:t>им-либо образом модифицированного</w:t>
            </w:r>
            <w:r w:rsidR="002E27A6" w:rsidRPr="002E27A6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</w:t>
            </w:r>
            <w:r w:rsidR="008C27BD" w:rsidRPr="002E27A6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676977" w:rsidRPr="002E27A6" w:rsidRDefault="00676977" w:rsidP="00BA5E7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6881">
              <w:rPr>
                <w:rFonts w:ascii="Times New Roman" w:eastAsia="Calibri" w:hAnsi="Times New Roman" w:cs="Times New Roman"/>
              </w:rPr>
              <w:t xml:space="preserve">В составе </w:t>
            </w:r>
            <w:r>
              <w:rPr>
                <w:rFonts w:ascii="Times New Roman" w:eastAsia="Calibri" w:hAnsi="Times New Roman" w:cs="Times New Roman"/>
                <w:lang w:val="kk-KZ"/>
              </w:rPr>
              <w:t>акциона</w:t>
            </w:r>
            <w:r w:rsidRPr="00E76881">
              <w:rPr>
                <w:rFonts w:ascii="Times New Roman" w:eastAsia="Calibri" w:hAnsi="Times New Roman" w:cs="Times New Roman"/>
              </w:rPr>
              <w:t xml:space="preserve"> Потенциальный Поставщик должен предоставить </w:t>
            </w:r>
            <w:proofErr w:type="spellStart"/>
            <w:r w:rsidRPr="00E76881">
              <w:rPr>
                <w:rFonts w:ascii="Times New Roman" w:eastAsia="Calibri" w:hAnsi="Times New Roman" w:cs="Times New Roman"/>
              </w:rPr>
              <w:t>авторизационное</w:t>
            </w:r>
            <w:proofErr w:type="spellEnd"/>
            <w:r w:rsidRPr="00E76881">
              <w:rPr>
                <w:rFonts w:ascii="Times New Roman" w:eastAsia="Calibri" w:hAnsi="Times New Roman" w:cs="Times New Roman"/>
              </w:rPr>
              <w:t xml:space="preserve"> письмо от производителя оборудования, либо его официального представителя (дилера или дистрибьютора) указанного в технической спецификации Потенциального поставщика.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A94AA3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 xml:space="preserve"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</w:t>
            </w:r>
            <w:r w:rsidRPr="00400B10">
              <w:rPr>
                <w:rFonts w:ascii="Times New Roman" w:eastAsia="Calibri" w:hAnsi="Times New Roman" w:cs="Times New Roman"/>
              </w:rPr>
              <w:lastRenderedPageBreak/>
              <w:t>непредставление 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5D7057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</w:tbl>
    <w:p w:rsidR="003A7888" w:rsidRPr="00FE4700" w:rsidRDefault="003A7888" w:rsidP="003A7888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3A7888" w:rsidRPr="00567AA4" w:rsidRDefault="003A7888" w:rsidP="003A7888">
      <w:pPr>
        <w:rPr>
          <w:lang w:val="kk-KZ"/>
        </w:rPr>
      </w:pPr>
    </w:p>
    <w:p w:rsidR="00BC6956" w:rsidRPr="003A7888" w:rsidRDefault="00BC6956" w:rsidP="003A7888"/>
    <w:sectPr w:rsidR="00BC6956" w:rsidRPr="003A7888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D0D"/>
    <w:multiLevelType w:val="hybridMultilevel"/>
    <w:tmpl w:val="21808C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C51A77"/>
    <w:multiLevelType w:val="hybridMultilevel"/>
    <w:tmpl w:val="572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D3FAD"/>
    <w:multiLevelType w:val="multilevel"/>
    <w:tmpl w:val="09A8B1E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21A8B"/>
    <w:rsid w:val="00090DB6"/>
    <w:rsid w:val="000A15F1"/>
    <w:rsid w:val="000A611C"/>
    <w:rsid w:val="000B77F2"/>
    <w:rsid w:val="000D59CE"/>
    <w:rsid w:val="000E240D"/>
    <w:rsid w:val="00124C11"/>
    <w:rsid w:val="00125240"/>
    <w:rsid w:val="00127B3B"/>
    <w:rsid w:val="001471E3"/>
    <w:rsid w:val="00182073"/>
    <w:rsid w:val="00194EB5"/>
    <w:rsid w:val="001A32A4"/>
    <w:rsid w:val="001B7126"/>
    <w:rsid w:val="00240FAB"/>
    <w:rsid w:val="00257E60"/>
    <w:rsid w:val="0027733A"/>
    <w:rsid w:val="00287A36"/>
    <w:rsid w:val="002E16E7"/>
    <w:rsid w:val="002E27A6"/>
    <w:rsid w:val="002E4318"/>
    <w:rsid w:val="002F6C79"/>
    <w:rsid w:val="0033092B"/>
    <w:rsid w:val="0034088A"/>
    <w:rsid w:val="003442C3"/>
    <w:rsid w:val="00355307"/>
    <w:rsid w:val="00392E34"/>
    <w:rsid w:val="003A701F"/>
    <w:rsid w:val="003A7888"/>
    <w:rsid w:val="003C45FD"/>
    <w:rsid w:val="003D0F31"/>
    <w:rsid w:val="00400B10"/>
    <w:rsid w:val="00435508"/>
    <w:rsid w:val="00460891"/>
    <w:rsid w:val="00467769"/>
    <w:rsid w:val="00490A6C"/>
    <w:rsid w:val="004D186B"/>
    <w:rsid w:val="004E2ECC"/>
    <w:rsid w:val="004F02D9"/>
    <w:rsid w:val="0052611C"/>
    <w:rsid w:val="005502FC"/>
    <w:rsid w:val="00567AA4"/>
    <w:rsid w:val="005871C9"/>
    <w:rsid w:val="005A5C77"/>
    <w:rsid w:val="005B66C9"/>
    <w:rsid w:val="005C75DB"/>
    <w:rsid w:val="005D7057"/>
    <w:rsid w:val="005E2ECD"/>
    <w:rsid w:val="005F52EC"/>
    <w:rsid w:val="00637984"/>
    <w:rsid w:val="00640CDC"/>
    <w:rsid w:val="00643B53"/>
    <w:rsid w:val="00676977"/>
    <w:rsid w:val="006B6DF4"/>
    <w:rsid w:val="007317D0"/>
    <w:rsid w:val="00753389"/>
    <w:rsid w:val="007A6BAE"/>
    <w:rsid w:val="007B1412"/>
    <w:rsid w:val="00822B46"/>
    <w:rsid w:val="00857D73"/>
    <w:rsid w:val="00865CC6"/>
    <w:rsid w:val="008976F6"/>
    <w:rsid w:val="008C27BD"/>
    <w:rsid w:val="008D7D99"/>
    <w:rsid w:val="008E2A10"/>
    <w:rsid w:val="009144AB"/>
    <w:rsid w:val="00927297"/>
    <w:rsid w:val="00982D10"/>
    <w:rsid w:val="00994954"/>
    <w:rsid w:val="0099567C"/>
    <w:rsid w:val="009B18CB"/>
    <w:rsid w:val="009E058A"/>
    <w:rsid w:val="00A04AAD"/>
    <w:rsid w:val="00A050AA"/>
    <w:rsid w:val="00A36F63"/>
    <w:rsid w:val="00A61C62"/>
    <w:rsid w:val="00A72773"/>
    <w:rsid w:val="00A94AA3"/>
    <w:rsid w:val="00AB10C3"/>
    <w:rsid w:val="00AB7948"/>
    <w:rsid w:val="00AC52CE"/>
    <w:rsid w:val="00AD279C"/>
    <w:rsid w:val="00AE2CA5"/>
    <w:rsid w:val="00AF4096"/>
    <w:rsid w:val="00AF5FBA"/>
    <w:rsid w:val="00B15555"/>
    <w:rsid w:val="00B93CA2"/>
    <w:rsid w:val="00BA198B"/>
    <w:rsid w:val="00BA5E77"/>
    <w:rsid w:val="00BC13EA"/>
    <w:rsid w:val="00BC6956"/>
    <w:rsid w:val="00BE6D9F"/>
    <w:rsid w:val="00BF7B1A"/>
    <w:rsid w:val="00C619B0"/>
    <w:rsid w:val="00C65144"/>
    <w:rsid w:val="00C66E08"/>
    <w:rsid w:val="00C71477"/>
    <w:rsid w:val="00C80830"/>
    <w:rsid w:val="00CD2E50"/>
    <w:rsid w:val="00D15834"/>
    <w:rsid w:val="00D220AC"/>
    <w:rsid w:val="00D22268"/>
    <w:rsid w:val="00D22D92"/>
    <w:rsid w:val="00D301A8"/>
    <w:rsid w:val="00D429A8"/>
    <w:rsid w:val="00D6184F"/>
    <w:rsid w:val="00D86116"/>
    <w:rsid w:val="00D87FFD"/>
    <w:rsid w:val="00D955BC"/>
    <w:rsid w:val="00DD5A66"/>
    <w:rsid w:val="00DE6732"/>
    <w:rsid w:val="00E0614E"/>
    <w:rsid w:val="00E1322E"/>
    <w:rsid w:val="00E309A7"/>
    <w:rsid w:val="00E52764"/>
    <w:rsid w:val="00E82D3E"/>
    <w:rsid w:val="00E87B3E"/>
    <w:rsid w:val="00E918A6"/>
    <w:rsid w:val="00F03BCC"/>
    <w:rsid w:val="00F344A3"/>
    <w:rsid w:val="00F6721B"/>
    <w:rsid w:val="00F74C7A"/>
    <w:rsid w:val="00F81842"/>
    <w:rsid w:val="00FB4FF5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5502FC"/>
    <w:rPr>
      <w:i/>
      <w:iCs/>
    </w:rPr>
  </w:style>
  <w:style w:type="paragraph" w:styleId="aa">
    <w:name w:val="List Paragraph"/>
    <w:basedOn w:val="a"/>
    <w:uiPriority w:val="34"/>
    <w:qFormat/>
    <w:rsid w:val="005502FC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BF7B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5502FC"/>
    <w:rPr>
      <w:i/>
      <w:iCs/>
    </w:rPr>
  </w:style>
  <w:style w:type="paragraph" w:styleId="aa">
    <w:name w:val="List Paragraph"/>
    <w:basedOn w:val="a"/>
    <w:uiPriority w:val="34"/>
    <w:qFormat/>
    <w:rsid w:val="005502FC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BF7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E7799-6C6F-437D-8993-2A1DBF80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3</cp:revision>
  <cp:lastPrinted>2022-02-17T03:28:00Z</cp:lastPrinted>
  <dcterms:created xsi:type="dcterms:W3CDTF">2022-02-17T04:54:00Z</dcterms:created>
  <dcterms:modified xsi:type="dcterms:W3CDTF">2022-03-02T05:55:00Z</dcterms:modified>
</cp:coreProperties>
</file>