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9D" w:rsidRDefault="008C3C9D" w:rsidP="008C3C9D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</w:t>
      </w:r>
      <w:r w:rsidRPr="00EB7860">
        <w:rPr>
          <w:rFonts w:ascii="Times New Roman" w:hAnsi="Times New Roman"/>
          <w:b/>
          <w:sz w:val="20"/>
          <w:szCs w:val="20"/>
          <w:lang w:val="kk-KZ"/>
        </w:rPr>
        <w:t>«</w:t>
      </w:r>
      <w:bookmarkStart w:id="0" w:name="_GoBack"/>
      <w:r>
        <w:rPr>
          <w:rFonts w:ascii="Times New Roman" w:hAnsi="Times New Roman"/>
          <w:b/>
          <w:sz w:val="20"/>
          <w:szCs w:val="20"/>
          <w:lang w:val="kk-KZ"/>
        </w:rPr>
        <w:t xml:space="preserve">Теледидарлық хабар </w:t>
      </w:r>
      <w:r w:rsidRPr="006F0CF6">
        <w:rPr>
          <w:rFonts w:ascii="Times New Roman" w:hAnsi="Times New Roman"/>
          <w:b/>
          <w:sz w:val="20"/>
          <w:szCs w:val="20"/>
          <w:lang w:val="kk-KZ"/>
        </w:rPr>
        <w:t xml:space="preserve">таратуға арналған </w:t>
      </w:r>
      <w:r w:rsidRPr="00EB7860">
        <w:rPr>
          <w:rFonts w:ascii="Times New Roman" w:hAnsi="Times New Roman"/>
          <w:b/>
          <w:sz w:val="20"/>
          <w:szCs w:val="20"/>
          <w:lang w:val="kk-KZ"/>
        </w:rPr>
        <w:t>(графикаға арналған)</w:t>
      </w:r>
    </w:p>
    <w:p w:rsidR="008C3C9D" w:rsidRDefault="008C3C9D" w:rsidP="008C3C9D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</w:t>
      </w:r>
      <w:r w:rsidR="0079554B">
        <w:rPr>
          <w:rFonts w:ascii="Times New Roman" w:hAnsi="Times New Roman"/>
          <w:b/>
          <w:sz w:val="20"/>
          <w:szCs w:val="20"/>
          <w:lang w:val="kk-KZ"/>
        </w:rPr>
        <w:t>серверін</w:t>
      </w:r>
      <w:r w:rsidR="0079554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жаңғырту</w:t>
      </w:r>
      <w:bookmarkEnd w:id="0"/>
      <w:r>
        <w:rPr>
          <w:rFonts w:ascii="Times New Roman" w:hAnsi="Times New Roman"/>
          <w:b/>
          <w:sz w:val="20"/>
          <w:szCs w:val="20"/>
          <w:lang w:val="kk-KZ"/>
        </w:rPr>
        <w:t xml:space="preserve">» мемлекеттік сатып алу бойынша </w:t>
      </w:r>
    </w:p>
    <w:p w:rsidR="008C3C9D" w:rsidRDefault="008C3C9D" w:rsidP="008C3C9D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</w:t>
      </w:r>
      <w:r w:rsidRPr="002F2F8C">
        <w:rPr>
          <w:rFonts w:ascii="Times New Roman" w:hAnsi="Times New Roman"/>
          <w:b/>
          <w:sz w:val="20"/>
          <w:szCs w:val="20"/>
          <w:lang w:val="kk-KZ"/>
        </w:rPr>
        <w:t>техникалық ерекшелігі</w:t>
      </w:r>
    </w:p>
    <w:p w:rsidR="008C3C9D" w:rsidRPr="002F2F8C" w:rsidRDefault="008C3C9D" w:rsidP="008C3C9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8C3C9D" w:rsidRPr="002F2F8C" w:rsidTr="00903B6C">
        <w:tc>
          <w:tcPr>
            <w:tcW w:w="42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4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Бө</w:t>
            </w:r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2F2F8C">
              <w:rPr>
                <w:rFonts w:ascii="Times New Roman" w:hAnsi="Times New Roman"/>
                <w:sz w:val="20"/>
                <w:szCs w:val="20"/>
              </w:rPr>
              <w:t>ім</w:t>
            </w:r>
            <w:proofErr w:type="spellEnd"/>
          </w:p>
        </w:tc>
        <w:tc>
          <w:tcPr>
            <w:tcW w:w="6379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Талаптар</w:t>
            </w:r>
            <w:proofErr w:type="spellEnd"/>
          </w:p>
        </w:tc>
      </w:tr>
      <w:tr w:rsidR="008C3C9D" w:rsidRPr="002F2F8C" w:rsidTr="00903B6C">
        <w:tc>
          <w:tcPr>
            <w:tcW w:w="42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Сатып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алынатын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тауарларға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ұлттық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стандарттардың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ал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олар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болмаған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жағдайда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мемлекетаралық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стандарттардың</w:t>
            </w:r>
            <w:proofErr w:type="spell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атауы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Ұлттық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мемлекетаралық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стандарттар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болмаған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кезде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мемлекеттік</w:t>
            </w:r>
            <w:proofErr w:type="spell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сатып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алуды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нормалау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ескеріле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отырып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сатып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алынатын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тауарлардың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талап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етілеті</w:t>
            </w:r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proofErr w:type="gram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функционалдық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техникалық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сапалық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пайдаланушылық</w:t>
            </w:r>
            <w:proofErr w:type="spell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сипаттамалары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көрсетіледі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C9D" w:rsidRPr="002F2F8C" w:rsidTr="00903B6C">
        <w:tc>
          <w:tcPr>
            <w:tcW w:w="42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Шыққан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2F8C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</w:tr>
      <w:tr w:rsidR="008C3C9D" w:rsidRPr="002F2F8C" w:rsidTr="00903B6C">
        <w:trPr>
          <w:trHeight w:val="129"/>
        </w:trPr>
        <w:tc>
          <w:tcPr>
            <w:tcW w:w="42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Кепілді</w:t>
            </w:r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мерз</w:t>
            </w:r>
            <w:proofErr w:type="gramEnd"/>
            <w:r w:rsidRPr="002F2F8C">
              <w:rPr>
                <w:rFonts w:ascii="Times New Roman" w:hAnsi="Times New Roman"/>
                <w:sz w:val="20"/>
                <w:szCs w:val="20"/>
              </w:rPr>
              <w:t>імі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айлар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2F8C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</w:tr>
      <w:tr w:rsidR="008C3C9D" w:rsidRPr="0079554B" w:rsidTr="00903B6C">
        <w:tc>
          <w:tcPr>
            <w:tcW w:w="42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Сатып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алынатын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тауарлардың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қажетті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функционалдық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техникалық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сапалық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өнімділігі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бас</w:t>
            </w:r>
            <w:proofErr w:type="gramEnd"/>
            <w:r w:rsidRPr="002F2F8C">
              <w:rPr>
                <w:rFonts w:ascii="Times New Roman" w:hAnsi="Times New Roman"/>
                <w:sz w:val="20"/>
                <w:szCs w:val="20"/>
              </w:rPr>
              <w:t>қа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да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сипаттамаларының</w:t>
            </w:r>
            <w:proofErr w:type="spell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t>Процессор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>кем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інде 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 xml:space="preserve">2 процессор, 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кемінде </w:t>
            </w:r>
            <w:r>
              <w:rPr>
                <w:rFonts w:ascii="Times New Roman" w:hAnsi="Times New Roman"/>
                <w:sz w:val="20"/>
                <w:szCs w:val="20"/>
              </w:rPr>
              <w:t>10 ядро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>/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кемінде 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>20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ғын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жиілігі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база</w:t>
            </w:r>
            <w:r>
              <w:rPr>
                <w:rFonts w:ascii="Times New Roman" w:hAnsi="Times New Roman"/>
                <w:sz w:val="20"/>
                <w:szCs w:val="20"/>
              </w:rPr>
              <w:t>лық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жиіліктерде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2,4 ГГц,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турбо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>режимде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кемінде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3,2 ГГц,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кемінде 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>3-ші де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гейлі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13,75 </w:t>
            </w:r>
            <w:proofErr w:type="spellStart"/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M</w:t>
            </w:r>
            <w:proofErr w:type="gramEnd"/>
            <w:r w:rsidRPr="002F2F8C">
              <w:rPr>
                <w:rFonts w:ascii="Times New Roman" w:hAnsi="Times New Roman"/>
                <w:sz w:val="20"/>
                <w:szCs w:val="20"/>
              </w:rPr>
              <w:t>байт-тан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кем емес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кэш-жады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литография 14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нм-ден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емес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жылу пакеті 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>100 Вт-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тан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 емес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3C9D" w:rsidRPr="009B7ABF" w:rsidRDefault="008C3C9D" w:rsidP="00903B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t>ЖЖҚ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 w:rsidRPr="002F2F8C">
              <w:rPr>
                <w:rFonts w:ascii="Times New Roman" w:hAnsi="Times New Roman"/>
                <w:sz w:val="20"/>
                <w:szCs w:val="20"/>
                <w:lang w:val="en-US"/>
              </w:rPr>
              <w:t>ECC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технологиясы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бар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2F8C">
              <w:rPr>
                <w:rFonts w:ascii="Times New Roman" w:hAnsi="Times New Roman"/>
                <w:sz w:val="20"/>
                <w:szCs w:val="20"/>
                <w:lang w:val="en-US"/>
              </w:rPr>
              <w:t>DDR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 xml:space="preserve">4-2933МГц </w:t>
            </w:r>
            <w:r>
              <w:rPr>
                <w:rFonts w:ascii="Times New Roman" w:hAnsi="Times New Roman"/>
                <w:sz w:val="20"/>
                <w:szCs w:val="20"/>
              </w:rPr>
              <w:t>RDIMM.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төмен емес</w:t>
            </w:r>
            <w:r w:rsidRPr="009B7ABF">
              <w:rPr>
                <w:rFonts w:ascii="Times New Roman" w:hAnsi="Times New Roman"/>
                <w:sz w:val="20"/>
                <w:szCs w:val="20"/>
              </w:rPr>
              <w:t xml:space="preserve"> 64 </w:t>
            </w:r>
            <w:proofErr w:type="gramStart"/>
            <w:r w:rsidRPr="009B7ABF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кем емес</w:t>
            </w:r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Жады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слоттары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>24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емес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8C3C9D" w:rsidRPr="002F2F8C" w:rsidRDefault="008C3C9D" w:rsidP="00903B6C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Жинақтағыштар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жинақтағыштар контроллері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  <w:p w:rsidR="008C3C9D" w:rsidRPr="002F2F8C" w:rsidRDefault="008C3C9D" w:rsidP="00903B6C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Жинақтағыштар м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ыналардан төмен емес: SSD SATA, деректерді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тізбекті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оқу/жазу жылдамдығы 500/300 МБ/с төмен емес, сыйымдылығы 256 ГБ төмен емес, форм-фактор 2,5 дюйм (SFF) төмен емес, кемінде 1 дана. Төмендегілерден төмен емес: SSD M. 2, сыйымдылығы 512 ГБ кем емес, NVMe қолдауы, </w:t>
            </w:r>
            <w:r w:rsidRPr="009B7ABF">
              <w:rPr>
                <w:rFonts w:ascii="Times New Roman" w:hAnsi="Times New Roman"/>
                <w:sz w:val="20"/>
                <w:szCs w:val="20"/>
                <w:lang w:val="kk-KZ"/>
              </w:rPr>
              <w:t>деректерді тізбекті оқу/жазу жылдамдығы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1500/350мб/с төмен емес,</w:t>
            </w:r>
            <w:r w:rsidRPr="009B7A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PCIe x8 төмен емес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слотына</w:t>
            </w:r>
            <w:r w:rsidRPr="009B7A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арналған кеңейту картасына орнатылған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кемінде 1 дана.</w:t>
            </w:r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Жинақтағ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ыш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контрол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лері: саны 2 данадан кем емес, м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ынадай сипаттамалардан төмен емес: кіріктірілген AHCI SATA қолдауымен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кемінде 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портты, 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кемінде 6.0 Гб/сек, </w:t>
            </w:r>
            <w:r w:rsidRPr="002D5F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бағдарламалық 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0,1,5,1 RAID-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массивтердің қолдауымен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Кеңейту слоттары: </w:t>
            </w:r>
            <w:r w:rsidRPr="002F2F8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PCIe 3.0  төмен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емес </w:t>
            </w:r>
            <w:r w:rsidRPr="002D5FF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3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слоттан кем емес</w:t>
            </w:r>
            <w:r w:rsidRPr="002F2F8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Желілік адаптер: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Кіріктірілген кемінде 10/100/ бірақ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1000 Мбит/сек  аспайтын 4 порт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тан кем емес, авто-анықтағышпен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Бейне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адаптер: Графикалық процессордың базалық жиілігі 1400МГЦ – тен кем емес, жедел жады түрі DDR6-дан төмен емес, көлемі 24ГБ-тан кем емес, тиімді жад жиілігі 14000 МГц-тен төмен емес, жад шинасының ені 384 бит-тен төмен емес, интерфейс бойынша қосылу 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PCI Express 3.0 x 16-дан төмен емес, қалқымалы нүктемен операциялардың өнімділігі 16,3 TFLOPS-тан </w:t>
            </w:r>
            <w:r w:rsidRPr="00B50754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B5075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терафлопс</w:t>
            </w:r>
            <w:r w:rsidRPr="00B5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) 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кем емес, жадтың ең жоғары өткізу қабілеті 672 Гбайт/с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ек аспайды,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әмбебап ядролардың саны 4608-тен кем емес, Display port порттарының саны 4-тен кем емес, USB-C портының болуы, графикалық API қолдауы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OpenGL 4.6 төмен емес, DirectX 12.0 төмен емес, Vulkan 1.1-ден төмен емес. Максималды тұтыну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қуаты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-295 Ват-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тан аспайды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Қорек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тендіру блогы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Қуат коэффициентін белсенді түзету және тиімділігі 90% - тен төмен емес және жедел ауыстыру мүмкіндігі бар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әрқайсысы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1600 Вт-тан кем емес екі тәуелсіз қоректендіру блогы.</w:t>
            </w:r>
          </w:p>
          <w:p w:rsidR="008C3C9D" w:rsidRPr="00447371" w:rsidRDefault="008C3C9D" w:rsidP="00903B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Алдын ала орнатылған бағдарламалық қамтамасыз ету:  Кемінде 64Bit License, 2015 жылдан ерте емес, орыс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жергіліктендірумен</w:t>
            </w: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>, AD домендік желісіне қосылу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дың кіріктірілген мүмкіндігі</w:t>
            </w: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>, топтық саясатты қолдау, виртуалды машиналарды іске қосу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дың штаттық</w:t>
            </w: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құралдары, </w:t>
            </w:r>
            <w:r w:rsidRPr="00EA138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тасымалдағышта ОЖ орнату дискісін қолданбай «жедел пернелерді» басу арқылы жүйені қалпына келтіру мүмкіндігімен ОЖ-нің кіріктірілген бейнесі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сондай-ақ а</w:t>
            </w: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>лдын ала орнатылған бағдарламалық қамтамасыз ету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VizRT VizEngine 3.8 /3.9/3.10/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3.11/4.0 төмен емес теледидарлық</w:t>
            </w: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хабар таратудың графикалық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безендіру</w:t>
            </w: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жүйесімен үйлесімді болу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керек. </w:t>
            </w:r>
          </w:p>
          <w:p w:rsidR="008C3C9D" w:rsidRPr="00447371" w:rsidRDefault="008C3C9D" w:rsidP="00903B6C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>Графикалық веб-интерфейс функционалымен, оның ішінде сервердің қоректенуін толық қашықтықтан басқарумен, қосылысты SSL-шифрлауды қолдаумен және жеке желілік порт бойынша жұмыс істейтін IPMI интерфейстеріне қолжетімділікпен оларға физикалық қолжетімділік болмаған жағдайда серверлерді басқару тетігінің болуы.</w:t>
            </w:r>
          </w:p>
          <w:p w:rsidR="008C3C9D" w:rsidRPr="00447371" w:rsidRDefault="008C3C9D" w:rsidP="00903B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Серверді серверлік тірекке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монтаждауға</w:t>
            </w: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арналған телескопиялық рельстер жиынтығының болуы.</w:t>
            </w:r>
          </w:p>
          <w:p w:rsidR="008C3C9D" w:rsidRPr="009E7327" w:rsidRDefault="008C3C9D" w:rsidP="00903B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Әлеуетті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өнім беруші</w:t>
            </w: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тендерлік  өтінім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шеңберінде техникалық ерекшелікте</w:t>
            </w:r>
            <w:r w:rsidRPr="0044737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көрсетілген өндірушінің компаниясынан не олардың ресми өкілдерінен (дилерлерден немесе дистрибьюторлардан) авторландыру хатын қоса беруге тиіс</w:t>
            </w:r>
          </w:p>
        </w:tc>
      </w:tr>
      <w:tr w:rsidR="008C3C9D" w:rsidRPr="002F2F8C" w:rsidTr="00903B6C">
        <w:tc>
          <w:tcPr>
            <w:tcW w:w="42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54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Байланысты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қызметтер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қажет</w:t>
            </w:r>
            <w:proofErr w:type="spellEnd"/>
            <w:proofErr w:type="gram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болған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жағдайда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көрсетіледі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монтаждау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іске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қосу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дайындау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тексеру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тауарларды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сынау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Өнім беруші сондай-ақ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мыналарды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қарастыруы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тиіс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орнату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/диагностика /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тестілеу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барлық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жабдықты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тасымалдау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3C9D" w:rsidRPr="002F2F8C" w:rsidTr="00903B6C">
        <w:tc>
          <w:tcPr>
            <w:tcW w:w="42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Орындаушы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жеңімпаз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деп</w:t>
            </w:r>
            <w:proofErr w:type="spellEnd"/>
            <w:proofErr w:type="gram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анықталған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жағдайда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орындаушыға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қойылатын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талаптар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онымен</w:t>
            </w:r>
            <w:proofErr w:type="spell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мемлекеттік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сатып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алу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туралы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шарт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жасасу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қажет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болған</w:t>
            </w:r>
            <w:proofErr w:type="spellEnd"/>
            <w:proofErr w:type="gram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жағдайда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көрсетіледі</w:t>
            </w:r>
            <w:proofErr w:type="spellEnd"/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)(</w:t>
            </w:r>
            <w:proofErr w:type="spellStart"/>
            <w:proofErr w:type="gramEnd"/>
            <w:r w:rsidRPr="002F2F8C">
              <w:rPr>
                <w:rFonts w:ascii="Times New Roman" w:hAnsi="Times New Roman"/>
                <w:sz w:val="20"/>
                <w:szCs w:val="20"/>
              </w:rPr>
              <w:t>Әлеуетті</w:t>
            </w:r>
            <w:proofErr w:type="spell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өні</w:t>
            </w:r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берушіні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көрсетілген</w:t>
            </w:r>
            <w:proofErr w:type="spell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F2F8C">
              <w:rPr>
                <w:rFonts w:ascii="Times New Roman" w:hAnsi="Times New Roman"/>
                <w:sz w:val="20"/>
                <w:szCs w:val="20"/>
              </w:rPr>
              <w:t>әліметтерді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көрсетпегені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немесе</w:t>
            </w:r>
            <w:proofErr w:type="spell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бермегені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үшін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қ</w:t>
            </w:r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абылдамау</w:t>
            </w:r>
            <w:proofErr w:type="gramEnd"/>
            <w:r w:rsidRPr="002F2F8C">
              <w:rPr>
                <w:rFonts w:ascii="Times New Roman" w:hAnsi="Times New Roman"/>
                <w:sz w:val="20"/>
                <w:szCs w:val="20"/>
              </w:rPr>
              <w:t>ға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жол</w:t>
            </w:r>
            <w:proofErr w:type="spellEnd"/>
          </w:p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берілмейді</w:t>
            </w:r>
            <w:proofErr w:type="spellEnd"/>
          </w:p>
        </w:tc>
        <w:tc>
          <w:tcPr>
            <w:tcW w:w="6379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6054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3C9D" w:rsidRPr="002F2F8C" w:rsidTr="00903B6C">
        <w:tc>
          <w:tcPr>
            <w:tcW w:w="42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Жеткізу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F2F8C">
              <w:rPr>
                <w:rFonts w:ascii="Times New Roman" w:hAnsi="Times New Roman"/>
                <w:sz w:val="20"/>
                <w:szCs w:val="20"/>
              </w:rPr>
              <w:t>уа</w:t>
            </w:r>
            <w:proofErr w:type="gramEnd"/>
            <w:r w:rsidRPr="002F2F8C">
              <w:rPr>
                <w:rFonts w:ascii="Times New Roman" w:hAnsi="Times New Roman"/>
                <w:sz w:val="20"/>
                <w:szCs w:val="20"/>
              </w:rPr>
              <w:t>қыты</w:t>
            </w:r>
            <w:proofErr w:type="spellEnd"/>
          </w:p>
        </w:tc>
        <w:tc>
          <w:tcPr>
            <w:tcW w:w="6379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Шарт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жасалған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күннен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бастап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8C">
              <w:rPr>
                <w:rFonts w:ascii="Times New Roman" w:hAnsi="Times New Roman"/>
                <w:sz w:val="20"/>
                <w:szCs w:val="20"/>
                <w:lang w:val="kk-KZ"/>
              </w:rPr>
              <w:t>жұмыс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кү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proofErr w:type="gramEnd"/>
          </w:p>
        </w:tc>
      </w:tr>
      <w:tr w:rsidR="008C3C9D" w:rsidRPr="002F2F8C" w:rsidTr="00903B6C">
        <w:tc>
          <w:tcPr>
            <w:tcW w:w="42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r w:rsidRPr="002F2F8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5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Тауарды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жеткізу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6379" w:type="dxa"/>
          </w:tcPr>
          <w:p w:rsidR="008C3C9D" w:rsidRPr="002F2F8C" w:rsidRDefault="008C3C9D" w:rsidP="00903B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Нұр-Сұлтан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қ., "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Есіл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ауданы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Pr="002F2F8C">
              <w:rPr>
                <w:rFonts w:ascii="Times New Roman" w:hAnsi="Times New Roman"/>
                <w:sz w:val="20"/>
                <w:szCs w:val="20"/>
              </w:rPr>
              <w:t>Қонаев</w:t>
            </w:r>
            <w:proofErr w:type="spellEnd"/>
            <w:r w:rsidRPr="002F2F8C">
              <w:rPr>
                <w:rFonts w:ascii="Times New Roman" w:hAnsi="Times New Roman"/>
                <w:sz w:val="20"/>
                <w:szCs w:val="20"/>
              </w:rPr>
              <w:t xml:space="preserve"> к., 4.</w:t>
            </w:r>
          </w:p>
        </w:tc>
      </w:tr>
    </w:tbl>
    <w:p w:rsidR="00026007" w:rsidRDefault="00026007"/>
    <w:sectPr w:rsidR="0002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9D"/>
    <w:rsid w:val="00026007"/>
    <w:rsid w:val="0079554B"/>
    <w:rsid w:val="008C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9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9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Company>HP Inc.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Aimdos Alisher N.</dc:creator>
  <cp:lastModifiedBy>Aimdos Alisher N.</cp:lastModifiedBy>
  <cp:revision>2</cp:revision>
  <dcterms:created xsi:type="dcterms:W3CDTF">2022-03-02T06:17:00Z</dcterms:created>
  <dcterms:modified xsi:type="dcterms:W3CDTF">2022-03-02T09:15:00Z</dcterms:modified>
</cp:coreProperties>
</file>