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9" w:rsidRDefault="000C3819" w:rsidP="000C3819">
      <w:pPr>
        <w:spacing w:line="276" w:lineRule="auto"/>
        <w:jc w:val="center"/>
        <w:rPr>
          <w:b/>
          <w:bCs/>
          <w:color w:val="auto"/>
          <w:lang w:val="kk-KZ"/>
        </w:rPr>
      </w:pPr>
      <w:r w:rsidRPr="009D088A">
        <w:rPr>
          <w:b/>
          <w:bCs/>
          <w:color w:val="auto"/>
          <w:lang w:val="kk-KZ"/>
        </w:rPr>
        <w:t>«</w:t>
      </w:r>
      <w:r w:rsidRPr="000162AA">
        <w:rPr>
          <w:b/>
          <w:bCs/>
          <w:color w:val="auto"/>
          <w:lang w:val="kk-KZ"/>
        </w:rPr>
        <w:t>Ауа өткізгіш жүйесін тазалау қызметі</w:t>
      </w:r>
      <w:r w:rsidRPr="009D088A">
        <w:rPr>
          <w:b/>
          <w:bCs/>
          <w:color w:val="auto"/>
          <w:lang w:val="kk-KZ"/>
        </w:rPr>
        <w:t>»</w:t>
      </w:r>
    </w:p>
    <w:p w:rsidR="000C3819" w:rsidRPr="00710B87" w:rsidRDefault="000C3819" w:rsidP="000C3819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>ТЕХНИКАЛЫҚ ЕРЕКШЕЛІГІ</w:t>
      </w:r>
    </w:p>
    <w:p w:rsidR="000C3819" w:rsidRPr="00710B87" w:rsidRDefault="000C3819" w:rsidP="000C3819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C3819" w:rsidRPr="00C4006B" w:rsidTr="000903BE">
        <w:tc>
          <w:tcPr>
            <w:tcW w:w="425" w:type="dxa"/>
          </w:tcPr>
          <w:p w:rsidR="000C3819" w:rsidRPr="00C4006B" w:rsidRDefault="000C3819" w:rsidP="000903BE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0C3819" w:rsidRPr="00C4006B" w:rsidRDefault="000C3819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0C3819" w:rsidRPr="00C4006B" w:rsidRDefault="000C3819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0C3819" w:rsidRPr="00C4006B" w:rsidTr="000903BE">
        <w:tc>
          <w:tcPr>
            <w:tcW w:w="425" w:type="dxa"/>
          </w:tcPr>
          <w:p w:rsidR="000C3819" w:rsidRPr="00C4006B" w:rsidRDefault="000C3819" w:rsidP="000903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0C3819" w:rsidRPr="00327F5E" w:rsidRDefault="000C3819" w:rsidP="000903BE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Қызметтің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0C3819" w:rsidRPr="00327F5E" w:rsidRDefault="000C3819" w:rsidP="000903BE">
            <w:pPr>
              <w:jc w:val="left"/>
              <w:rPr>
                <w:b/>
                <w:sz w:val="22"/>
                <w:szCs w:val="22"/>
              </w:rPr>
            </w:pPr>
            <w:r w:rsidRPr="000162AA">
              <w:rPr>
                <w:bCs/>
                <w:sz w:val="22"/>
                <w:szCs w:val="22"/>
                <w:lang w:val="kk-KZ"/>
              </w:rPr>
              <w:t>Ауа өткізгіш жүйесін тазалау қызметі</w:t>
            </w:r>
          </w:p>
        </w:tc>
      </w:tr>
      <w:tr w:rsidR="000C3819" w:rsidRPr="00C4006B" w:rsidTr="000903BE">
        <w:tc>
          <w:tcPr>
            <w:tcW w:w="425" w:type="dxa"/>
          </w:tcPr>
          <w:p w:rsidR="000C3819" w:rsidRPr="00C4006B" w:rsidRDefault="000C3819" w:rsidP="000903BE">
            <w:r>
              <w:t>2</w:t>
            </w:r>
          </w:p>
        </w:tc>
        <w:tc>
          <w:tcPr>
            <w:tcW w:w="3545" w:type="dxa"/>
          </w:tcPr>
          <w:p w:rsidR="000C3819" w:rsidRPr="00327F5E" w:rsidRDefault="000C3819" w:rsidP="000903BE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Кепілді</w:t>
            </w:r>
            <w:proofErr w:type="gramStart"/>
            <w:r w:rsidRPr="00327F5E">
              <w:rPr>
                <w:sz w:val="22"/>
                <w:szCs w:val="22"/>
              </w:rPr>
              <w:t>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мерз</w:t>
            </w:r>
            <w:proofErr w:type="gramEnd"/>
            <w:r w:rsidRPr="00327F5E">
              <w:rPr>
                <w:sz w:val="22"/>
                <w:szCs w:val="22"/>
              </w:rPr>
              <w:t>імі</w:t>
            </w:r>
            <w:proofErr w:type="spellEnd"/>
            <w:r w:rsidRPr="00327F5E">
              <w:rPr>
                <w:sz w:val="22"/>
                <w:szCs w:val="22"/>
                <w:lang w:val="en-US"/>
              </w:rPr>
              <w:t xml:space="preserve"> </w:t>
            </w:r>
            <w:r w:rsidRPr="00327F5E">
              <w:rPr>
                <w:sz w:val="22"/>
                <w:szCs w:val="22"/>
              </w:rPr>
              <w:t>(</w:t>
            </w:r>
            <w:proofErr w:type="spellStart"/>
            <w:r w:rsidRPr="00327F5E">
              <w:rPr>
                <w:sz w:val="22"/>
                <w:szCs w:val="22"/>
              </w:rPr>
              <w:t>айлар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0C3819" w:rsidRPr="00327F5E" w:rsidRDefault="000C3819" w:rsidP="000903BE">
            <w:pPr>
              <w:rPr>
                <w:sz w:val="22"/>
                <w:szCs w:val="22"/>
              </w:rPr>
            </w:pPr>
          </w:p>
        </w:tc>
      </w:tr>
      <w:tr w:rsidR="000C3819" w:rsidRPr="00F121F7" w:rsidTr="000903BE">
        <w:tc>
          <w:tcPr>
            <w:tcW w:w="425" w:type="dxa"/>
          </w:tcPr>
          <w:p w:rsidR="000C3819" w:rsidRPr="00C4006B" w:rsidRDefault="000C3819" w:rsidP="000903BE">
            <w:r>
              <w:t>3</w:t>
            </w:r>
          </w:p>
        </w:tc>
        <w:tc>
          <w:tcPr>
            <w:tcW w:w="3545" w:type="dxa"/>
          </w:tcPr>
          <w:p w:rsidR="000C3819" w:rsidRPr="00327F5E" w:rsidRDefault="000C3819" w:rsidP="000903BE">
            <w:pPr>
              <w:jc w:val="left"/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Талап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етілетін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сипаттамалардың</w:t>
            </w:r>
            <w:proofErr w:type="spellEnd"/>
            <w:r w:rsidRPr="00327F5E">
              <w:rPr>
                <w:sz w:val="22"/>
                <w:szCs w:val="22"/>
              </w:rPr>
              <w:t xml:space="preserve">, </w:t>
            </w:r>
            <w:proofErr w:type="spellStart"/>
            <w:r w:rsidRPr="00327F5E">
              <w:rPr>
                <w:sz w:val="22"/>
                <w:szCs w:val="22"/>
              </w:rPr>
              <w:t>параметрлердің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өзге</w:t>
            </w:r>
            <w:proofErr w:type="spellEnd"/>
            <w:r w:rsidRPr="00327F5E">
              <w:rPr>
                <w:sz w:val="22"/>
                <w:szCs w:val="22"/>
              </w:rPr>
              <w:t xml:space="preserve"> де </w:t>
            </w:r>
            <w:proofErr w:type="spellStart"/>
            <w:r w:rsidRPr="00327F5E">
              <w:rPr>
                <w:sz w:val="22"/>
                <w:szCs w:val="22"/>
              </w:rPr>
              <w:t>бастапқы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деректердің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сипаттамасы</w:t>
            </w:r>
            <w:proofErr w:type="spellEnd"/>
            <w:r w:rsidRPr="00327F5E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0C3819" w:rsidRPr="00766ED3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өткізгіштің жалпы ұзындығы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8 110 п.м.</w:t>
            </w:r>
          </w:p>
          <w:p w:rsidR="000C3819" w:rsidRPr="00766ED3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түтігінің ені кем дегенде 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150/500 мм.</w:t>
            </w:r>
          </w:p>
          <w:p w:rsidR="000C3819" w:rsidRPr="00766ED3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 түтігінің  биіктігі кем дегенде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100/700 мм.</w:t>
            </w:r>
          </w:p>
          <w:p w:rsidR="000C3819" w:rsidRPr="00766ED3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Болат металының ауа өткізгіш материалы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қалыңдығы кем дегенде </w:t>
            </w:r>
            <w:r w:rsidRPr="00766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– 3 мм.</w:t>
            </w:r>
          </w:p>
          <w:p w:rsidR="000C3819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Қабаттар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сорғыш</w:t>
            </w: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желдеткішінің ауа өткізгіштерінің ұзындығы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</w:p>
          <w:p w:rsidR="000C3819" w:rsidRPr="009A40CA" w:rsidRDefault="000C3819" w:rsidP="000C381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0 қабат (паркинг) – ағыны 534 п.м., созу 485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 қабат – ағыны  1124 п.м., созу 521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2 қабат – ағыны 764 п.м., созу 668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3 қабат – ағыны 849 п.м., созу 557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4 қабат – ағыны 162 п.м., созу 150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5 қабат – ағыны 70 п.м., созу 28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6 қабат – ағыны 81 п.м., созу 28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7 қабат – ағыны 54 п.м., созу  51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8 қабат – ағыны 76 п.м., созу 34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9 қабат – ағыны 65 п.м., созу 71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10 қабат – ағыны 119 п.м., созу 53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11 қабат – ағыны 44 п.м., созу 38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12 қабат – ағыны 76 п.м., созу 49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13 қабат – ағыны 77 п.м., созу 41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14 қабат – ағыны 92 п.м., созу 58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15 қабат – ағыны 72 п.м., созу 41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16 қабат – ағыны 83 п.м., созу 28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17 қабат – ағыны 56 п.м., созу 39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18 қабат – ағыны 60 п.м., созу 52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19 қабат – ағыны 86 п.м., созу 45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20 қабат – ағыны 95 п.м., созу 56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21 қабат – ағыны 98 п.м., созу 66 п.м.</w:t>
            </w:r>
          </w:p>
          <w:p w:rsidR="000C3819" w:rsidRPr="009A40CA" w:rsidRDefault="000C3819" w:rsidP="000C381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22 қабат – ағыны 114 п.м., созу 100 п.м.</w:t>
            </w:r>
          </w:p>
          <w:p w:rsidR="000C3819" w:rsidRPr="009A40CA" w:rsidRDefault="000C3819" w:rsidP="000903BE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Барлығы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: 8 110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0C3819" w:rsidRPr="00A35424" w:rsidRDefault="000C3819" w:rsidP="000903BE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</w:p>
        </w:tc>
      </w:tr>
      <w:tr w:rsidR="000C3819" w:rsidRPr="000C3819" w:rsidTr="000903BE">
        <w:tc>
          <w:tcPr>
            <w:tcW w:w="425" w:type="dxa"/>
          </w:tcPr>
          <w:p w:rsidR="000C3819" w:rsidRDefault="000C3819" w:rsidP="000903BE">
            <w:r>
              <w:t>4</w:t>
            </w:r>
          </w:p>
        </w:tc>
        <w:tc>
          <w:tcPr>
            <w:tcW w:w="3545" w:type="dxa"/>
          </w:tcPr>
          <w:p w:rsidR="000C3819" w:rsidRPr="00327F5E" w:rsidRDefault="000C3819" w:rsidP="000903BE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Орындаушы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жеңімпаз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7F5E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анықталған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берушіге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қойылатын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талаптар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онымен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мемлекеттік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сатып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алу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туралы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шарт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жасасу</w:t>
            </w:r>
            <w:proofErr w:type="spellEnd"/>
            <w:r w:rsidRPr="00327F5E">
              <w:rPr>
                <w:sz w:val="22"/>
                <w:szCs w:val="22"/>
              </w:rPr>
              <w:t xml:space="preserve"> (</w:t>
            </w:r>
            <w:proofErr w:type="spellStart"/>
            <w:r w:rsidRPr="00327F5E">
              <w:rPr>
                <w:sz w:val="22"/>
                <w:szCs w:val="22"/>
              </w:rPr>
              <w:t>қажет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болған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жағдайда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көрсетіледі</w:t>
            </w:r>
            <w:proofErr w:type="spellEnd"/>
            <w:r w:rsidRPr="00327F5E">
              <w:rPr>
                <w:sz w:val="22"/>
                <w:szCs w:val="22"/>
              </w:rPr>
              <w:t>) (</w:t>
            </w:r>
            <w:proofErr w:type="spellStart"/>
            <w:r w:rsidRPr="00327F5E">
              <w:rPr>
                <w:sz w:val="22"/>
                <w:szCs w:val="22"/>
              </w:rPr>
              <w:t>Әлеуетті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өнім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берушіні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көрсетілген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мәліметтерді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көрсетпегені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немесе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бермегені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үшін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қабылдамауға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жол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берілмейді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0C3819" w:rsidRPr="00F8186F" w:rsidRDefault="000C3819" w:rsidP="000903BE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F8186F">
              <w:rPr>
                <w:sz w:val="22"/>
                <w:szCs w:val="22"/>
                <w:lang w:val="kk-KZ"/>
              </w:rPr>
              <w:t>Осы «Техникалық ерекшелік» жабдықты техникалық пайдалану ережелері мен талаптарына сәйкес ғимараттың жабдықтау және шығару желдету жүйесін кешенді тазарту және дезинфекциялау бойынша қызметтерді ұсыну көлемі мен тәртібін анықтайды;</w:t>
            </w:r>
          </w:p>
          <w:p w:rsidR="000C3819" w:rsidRDefault="000C3819" w:rsidP="000903BE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F8186F">
              <w:rPr>
                <w:sz w:val="22"/>
                <w:szCs w:val="22"/>
                <w:lang w:val="kk-KZ"/>
              </w:rPr>
              <w:t>Желдету жүйелерін тазарту 2015 жылғы 09 желтоқсандағы No758</w:t>
            </w:r>
            <w:r>
              <w:rPr>
                <w:sz w:val="22"/>
                <w:szCs w:val="22"/>
                <w:lang w:val="kk-KZ"/>
              </w:rPr>
              <w:t>.</w:t>
            </w:r>
            <w:r w:rsidRPr="00F8186F">
              <w:rPr>
                <w:sz w:val="22"/>
                <w:szCs w:val="22"/>
                <w:lang w:val="kk-KZ"/>
              </w:rPr>
              <w:t xml:space="preserve"> </w:t>
            </w:r>
          </w:p>
          <w:p w:rsidR="000C3819" w:rsidRDefault="000C3819" w:rsidP="000903BE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F8186F">
              <w:rPr>
                <w:sz w:val="22"/>
                <w:szCs w:val="22"/>
                <w:lang w:val="kk-KZ"/>
              </w:rPr>
              <w:t>«Желдету және ауа тазарту жүйелеріне қойылатын санитарлық-эпидемиологиялық талаптар» санитарлық ережелеріне сәйкес жүргізілуі керек.</w:t>
            </w:r>
          </w:p>
          <w:p w:rsidR="000C3819" w:rsidRDefault="000C3819" w:rsidP="000903BE">
            <w:pPr>
              <w:spacing w:line="27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</w:t>
            </w:r>
            <w:r w:rsidRPr="00B5321A">
              <w:rPr>
                <w:sz w:val="22"/>
                <w:szCs w:val="22"/>
                <w:lang w:val="kk-KZ"/>
              </w:rPr>
              <w:t>леуетті өнім</w:t>
            </w:r>
            <w:r>
              <w:rPr>
                <w:sz w:val="22"/>
                <w:szCs w:val="22"/>
                <w:lang w:val="kk-KZ"/>
              </w:rPr>
              <w:t xml:space="preserve"> шарт </w:t>
            </w:r>
            <w:r w:rsidRPr="00B5321A">
              <w:rPr>
                <w:sz w:val="22"/>
                <w:szCs w:val="22"/>
                <w:lang w:val="kk-KZ"/>
              </w:rPr>
              <w:t>жасасқаннан кейін мына</w:t>
            </w:r>
            <w:r>
              <w:rPr>
                <w:sz w:val="22"/>
                <w:szCs w:val="22"/>
                <w:lang w:val="kk-KZ"/>
              </w:rPr>
              <w:t>н</w:t>
            </w:r>
            <w:r w:rsidRPr="00B5321A">
              <w:rPr>
                <w:sz w:val="22"/>
                <w:szCs w:val="22"/>
                <w:lang w:val="kk-KZ"/>
              </w:rPr>
              <w:t>дай мәліметтер мен құжаттарды ұсынуы тиіс:</w:t>
            </w:r>
          </w:p>
          <w:p w:rsidR="000C3819" w:rsidRPr="00483EC2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lastRenderedPageBreak/>
              <w:t>1) Ауа өткізгіштерді тазарту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ға дейінгі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жүйелерінің беттерін микробиологиялық зерттеу хаттамасы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(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кем дегенде 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5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нүктеден әр жүйеге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);</w:t>
            </w:r>
          </w:p>
          <w:p w:rsidR="000C3819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2)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 дезинфекциялау және тазарту жүргізгенге дейін әр қабат бойынша бейне инспекция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0C3819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3</w:t>
            </w:r>
            <w:r w:rsidRPr="00F1339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Ауа өткізгіштерді дезинфекциялау және тазарту жүргізу </w:t>
            </w:r>
            <w:r w:rsidRPr="00935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барысында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әр қабат бойынша бейне инспекция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0C3819" w:rsidRPr="00F1339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4) </w:t>
            </w: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Тазартудан және дезинфекциялаудан кейін жабдықтау және шығару желдету жүйелерінің ауа өткізгіштерінің ішкі беттерін микробиологиялық зерттеуге арналған хаттама (әр жеткізу және шығару жүйесі үшін кемінде 2 балл)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5) Ауа өткізгіштерді тазарту және дезинфекциялау аяқталғаннан кейін еденге тексеріс жүргізу;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6) ауа өткізгіш қораптарын тазарту және дезинфекциялау кезінде Өнім беруші тапсырыс берушімен жұмыс жүргізілетін технологиялық тесікті (люкті) кесуге арналған орынмен келіседі;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7) Жұмыс үстелдері және басқа жиһаздар Жеткізуші целлофанмен немесе басқа материалдармен жабуға міндетті;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8) Жеткізуші өз есебінен сатып алынған тоқылған сымға қосымша бекітумен жұмыс орындарында, металл төбелік торларды бөлшектеуді және орнатуды жүзеге асырады;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9) жеткізуші ауа тарататын торларды (диффузорларды) тазартуға және дезинфекциялауға міндетті;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10) жұмыстың уақыты мен орнын Тапсырыс беруші белгілейді;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11) Қолданылған ауа өткізгіштерді зарарсыздандыру құралдары ғимараттағы адамдардың денсаулығына зиян тигізбеуі керек.</w:t>
            </w:r>
          </w:p>
          <w:p w:rsidR="000C3819" w:rsidRPr="00F8186F" w:rsidRDefault="000C3819" w:rsidP="000903B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12) </w:t>
            </w: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 Тапсырыс берушінің материалдық құндылықтарының сақталуын қамтамасыз етуге міндетті. Зақымдалған жағдайда, Жеткізуші Тапсырыс берушінің материалдық құндылықтарын, мүлкін жою және өтеу бойынша барлық қаржылық шығындарды өз мойнына алады.</w:t>
            </w:r>
          </w:p>
          <w:p w:rsidR="000C3819" w:rsidRPr="00A35424" w:rsidRDefault="000C3819" w:rsidP="000903BE">
            <w:pPr>
              <w:jc w:val="left"/>
              <w:rPr>
                <w:sz w:val="22"/>
                <w:szCs w:val="22"/>
                <w:lang w:val="kk-KZ"/>
              </w:rPr>
            </w:pPr>
            <w:r w:rsidRPr="00F8186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13) Жеткізушінің мамандары жұмыстарды орындау кезінде қауіпсіздік шараларын және өрт қауіпсіздігін сақтауға міндетті, биіктікте жұмыс істеуге рұқсаты бар.</w:t>
            </w:r>
          </w:p>
        </w:tc>
      </w:tr>
    </w:tbl>
    <w:p w:rsidR="00BC0107" w:rsidRPr="000C3819" w:rsidRDefault="00BC0107">
      <w:pPr>
        <w:rPr>
          <w:lang w:val="kk-KZ"/>
        </w:rPr>
      </w:pPr>
      <w:bookmarkStart w:id="0" w:name="_GoBack"/>
      <w:bookmarkEnd w:id="0"/>
    </w:p>
    <w:sectPr w:rsidR="00BC0107" w:rsidRPr="000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9"/>
    <w:rsid w:val="000C3819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HP Inc.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2021-11-26T11:04:00Z</dcterms:created>
  <dcterms:modified xsi:type="dcterms:W3CDTF">2021-11-26T11:04:00Z</dcterms:modified>
</cp:coreProperties>
</file>