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B9" w:rsidRPr="00972A80" w:rsidRDefault="00AC43B9" w:rsidP="00AC4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ТЕХНИКАЛЫҚ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СИПАТТАМА</w:t>
      </w:r>
    </w:p>
    <w:p w:rsidR="00AC43B9" w:rsidRPr="00B12424" w:rsidRDefault="00AC43B9" w:rsidP="00AC4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B12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рнату жұмысымен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12424">
        <w:rPr>
          <w:rFonts w:ascii="Times New Roman" w:hAnsi="Times New Roman" w:cs="Times New Roman"/>
          <w:b/>
          <w:sz w:val="24"/>
          <w:szCs w:val="24"/>
          <w:lang w:val="kk-KZ"/>
        </w:rPr>
        <w:t>автокөлік құралдарының аумаққа өтуін бақылауды автоматтандыру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12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бағдарламалық-аппараттық кешенін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B12424">
        <w:rPr>
          <w:rFonts w:ascii="Times New Roman" w:hAnsi="Times New Roman" w:cs="Times New Roman"/>
          <w:b/>
          <w:sz w:val="24"/>
          <w:szCs w:val="24"/>
          <w:lang w:val="kk-KZ"/>
        </w:rPr>
        <w:t>емлекеттік сатып алу сатып алу</w:t>
      </w:r>
    </w:p>
    <w:p w:rsidR="007F28B1" w:rsidRPr="00C45B9E" w:rsidRDefault="007F28B1" w:rsidP="007F28B1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811"/>
        <w:gridCol w:w="6288"/>
      </w:tblGrid>
      <w:tr w:rsidR="00311376" w:rsidRPr="00C45B9E" w:rsidTr="0031137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76" w:rsidRPr="00C45B9E" w:rsidRDefault="00175B8A" w:rsidP="0017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Р</w:t>
            </w:r>
            <w:r w:rsidRPr="00C45B9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р</w:t>
            </w:r>
            <w:r w:rsidRPr="00C45B9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311376" w:rsidRPr="00C45B9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76" w:rsidRPr="00C45B9E" w:rsidRDefault="00311376" w:rsidP="0031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B9E">
              <w:rPr>
                <w:rFonts w:ascii="Times New Roman" w:hAnsi="Times New Roman" w:cs="Times New Roman"/>
                <w:b/>
                <w:sz w:val="24"/>
                <w:szCs w:val="24"/>
              </w:rPr>
              <w:t>Бөлімі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76" w:rsidRPr="00C45B9E" w:rsidRDefault="00311376" w:rsidP="0031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B9E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</w:t>
            </w:r>
            <w:proofErr w:type="spellEnd"/>
          </w:p>
        </w:tc>
      </w:tr>
      <w:tr w:rsidR="00B15200" w:rsidRPr="00EF695E" w:rsidTr="0031137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C45B9E" w:rsidRDefault="00B1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00" w:rsidRPr="00C45B9E" w:rsidRDefault="00311376" w:rsidP="00553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Қызметтің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0" w:rsidRPr="00C45B9E" w:rsidRDefault="00AC43B9" w:rsidP="00A524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B124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рнату жұмысымен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B124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автокөлік құралдарының аумаққа өтуін бақылауды автоматтандыру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B124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бағдарламалық-аппараттық кешенін сатып алу</w:t>
            </w:r>
          </w:p>
        </w:tc>
      </w:tr>
      <w:tr w:rsidR="00311376" w:rsidRPr="00C45B9E" w:rsidTr="0031137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6" w:rsidRPr="00C45B9E" w:rsidRDefault="0031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76" w:rsidRPr="00C45B9E" w:rsidRDefault="00311376" w:rsidP="0055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Кепілдік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айлар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76" w:rsidRPr="00C45B9E" w:rsidRDefault="00311376" w:rsidP="003113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en-US"/>
              </w:rPr>
            </w:pPr>
          </w:p>
        </w:tc>
      </w:tr>
      <w:tr w:rsidR="00B15200" w:rsidRPr="003422CE" w:rsidTr="0031137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C45B9E" w:rsidRDefault="0031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B15200" w:rsidRPr="00C45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C45B9E" w:rsidRDefault="00311376" w:rsidP="005533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сипаттамалардың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параметрлердің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Бағдарламалық-аппараттық кешен автомобильдердің аумаққа кіруін автоматтандырылған басқаруды ұйымдастыруға арналған.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Бағдарламалық-аппараттық кешен іске қосылған кезде бейнекамера сағатына 30 км жылдамдықпен қозғалатын автомобильдің бейнесін түсіреді және мемлекеттік тіркеу нөмірлік белгісін (бұдан әрі – МТНБ) таниды, анықтау қашықтығы 2 метрден 7 метрге дейін, ал МТНБ "Оқу" 1 секундтан аз уақытты алады. Кіруді бақылау автоматты режимде жүзеге асырылады: шлагбаумды ашу немесе ашу туралы шешім танылған МТНБ-ны дерекқормен салыстыру нәтижелері бойынша қабылданады.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Бағдарламалық-аппараттық кешен мыналарды қамтиды: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Ернемектік тірекке орнатылған МТНБ тану бойынша кіріктірілген бағдарламалық қамтамасыз етуі бар бейнекамера-кемінде 1 жиынтық;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Бейнекамераны бекіту үшін қажетті биіктіктегі металл Ернемектік тірек-кемінде 1 дана;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Көлемі 128GB кем емес MicroSDXC жад картасы - 2 данадан кем емес;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Бейнебайланысты қамтамасыз етуге және шлагбаумды басқаруға арналған желілік бейне интерком-кемінде 1 жиынтық;</w:t>
            </w:r>
          </w:p>
          <w:p w:rsidR="00AC43B9" w:rsidRPr="00AC43B9" w:rsidRDefault="00AC43B9" w:rsidP="00AC43B9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Бағдарламалық-аппараттық кешенді басқаруға арналған дербес компьютер-кемінде 1 жиынтық.</w:t>
            </w:r>
          </w:p>
          <w:p w:rsidR="00AC43B9" w:rsidRPr="00AC43B9" w:rsidRDefault="00AC43B9" w:rsidP="00AC43B9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3B9" w:rsidRPr="00AC43B9" w:rsidRDefault="00AC43B9" w:rsidP="00AC4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F69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МТНБ тану бойынша кіріктірілген бағдарламалық жасақтамасы бар бейнекамера:</w:t>
            </w:r>
          </w:p>
          <w:p w:rsidR="00AC43B9" w:rsidRPr="00AC43B9" w:rsidRDefault="00AC43B9" w:rsidP="00AC4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бағдарламалық жасақтама:</w:t>
            </w:r>
          </w:p>
          <w:p w:rsidR="00AC43B9" w:rsidRPr="00AC43B9" w:rsidRDefault="00AC43B9" w:rsidP="00AC4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Нөмірді танудың барлық процесін орындайды:</w:t>
            </w:r>
          </w:p>
          <w:p w:rsidR="00AC43B9" w:rsidRPr="00AC43B9" w:rsidRDefault="00AC43B9" w:rsidP="00AC4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Бейнелерді бей</w:t>
            </w:r>
            <w:bookmarkStart w:id="0" w:name="_GoBack"/>
            <w:bookmarkEnd w:id="0"/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нетіркеу;</w:t>
            </w:r>
          </w:p>
          <w:p w:rsidR="00AC43B9" w:rsidRPr="00AC43B9" w:rsidRDefault="00AC43B9" w:rsidP="00AC4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Автоматты мультиэкспозициямен суретті жақсы түсіру үшін оңтайлы параметрлерді автоматты түрде таңдау;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МТНБ тану және оқу.</w:t>
            </w: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3B9" w:rsidRP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AC43B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Камераға қойылатын талаптар: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Есептеу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платформасы-жергілікті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қашықтығы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метрден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метрге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секундтан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аспайды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Желілік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ажыратымдылығы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PTZ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камерасының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Pan-tilt-zoom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камерасы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Түнгі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уақытта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инфрақызыл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жарықтандырудың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рұқсаты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1920х1080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Сурет: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дегенде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1/2,8 дюйм,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прогрессивті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сканерлеу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, CMOS;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Объектив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2,8 - 8,5 мм, F 1,2 -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линзаның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жарық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күші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көлденең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110-38;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62-21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вариофокалды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фокусты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зумды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диафрагманы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(P-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инфрақызыл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Түсі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0,07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lx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жарықтандырудың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50 IRE F1,2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; С/б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0,01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lx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50 IRE F1,2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1024 МБ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512 МБ флэш-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IP66 / IP67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корпусы,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поликарбонатты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алюминий;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тізімдерінің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әрқайсысында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нөмірлі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"АҚ"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тізімдерді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Оқиғалар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журналының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қоймасы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128GB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интерфейсі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10/100 Мбит/с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Ethernet IEEE 802.3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/802.3 at,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3;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-40°C-тан + 60°C-қа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Бейнекамераға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фланецті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қолдау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Фланецті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тіреу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-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қаңылтыр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Табақ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болатының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қалыңдығы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3 мм;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Фланецті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тіреу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биіктігі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метрден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кронштейні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қаланың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жағдайында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дірілін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болдырмауы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Фланецті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тіреулерге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қондырғы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біріншіден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іргетас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блогы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ендірілген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бөлік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жерге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 метр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тереңдікке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орнатылады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бетондалған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содан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тіреуіш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ернемек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қолданып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болттармен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бекітіледі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Жад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картасы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Microsdhc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Жылдамдық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-Class 10 UHS-I U3, V30, A2;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Сыйымдылығы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128 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жылдамдығы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-100 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жылдамдығы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80 Мб/с;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Қоректендіру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кернеуі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2,7 – 3,6 В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класы-IPX7-ден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61773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Желілік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бейне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интерком: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рұқсаты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бұрышы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140°;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Көрінбейтін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түнгі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инфрақызыл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бейнебақылау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режимін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128 Гб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IP66-дан кем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IP телефония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интеграциясын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, SIP;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Ethernet IEEE 802.3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/802.3 at, 1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-40°C-тан + 60°C-қа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Желілік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сөйлесу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құрылғысы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IP-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стандарттар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интерфейстерде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кез-келген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қауіпсіздік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бейнебақылау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жүйесіне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интеграциялануы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интерком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шлагбаумды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шығу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жолдарымен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жабдықталуы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интеркомның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іс-қимылын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Cat-5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кабелі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бұралған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беру. 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Дербес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компьютер: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Процессор: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жиілігі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2,9 ГГц;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ядролардың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8 Гб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ЖЖҚ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түрі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DDR4-тен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256 Гб SSD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жинақтағыш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желілік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10/100 Мб/с;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қоректендіру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блогының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қуаты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200 Вт;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802.11 a/b/g/n/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диапазонды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Модулінің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433 Мбит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Бағдарламалық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қамтамасыз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ету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орнатылған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лицензиялық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Операциялық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разрядтылығы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64-bit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Лицензияның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қолданылу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мерзімсіз</w:t>
            </w:r>
            <w:proofErr w:type="spellEnd"/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нұсқасы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2019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Қаптамасы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: OEM-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аппараттық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жеткізіледі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қашықтағы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үстелі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Операциялық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Домен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контроллерімен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интеграциялануы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Пернетақта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блогы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бар QWERTY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орналасуы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пернетақта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. USB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қосылу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интерфейсі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орналасу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жапсырмаларды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қолданбай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зауыттық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қолдануымен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Тінтуір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ықшам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оптикалық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тінтуір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USB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қосылу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интерфейсі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түймелер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айналдыру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дөңгелегі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пернетақта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тінтуір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өндірушіден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ҚР СТ 1996-2010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стандартына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Жабдықтың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сипаттамалары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талаптарға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Бағдарламалық-аппараттық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кешенді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әзірлеу</w:t>
            </w:r>
            <w:proofErr w:type="spellEnd"/>
            <w:r w:rsidRPr="00BA67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Жеткізуші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аяқталған"жабдықты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жабдықтар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етуі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бағдарламалық-аппараттық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шығыстарды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көздеуі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Бағдарламалық-аппараттық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мынадай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Фланецті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тірекке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МТНБ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бейнекамерасын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монтаждау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Желілік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интеркомды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3. Жеке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компьютерді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жасақтаманы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маманына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бағдарламалық-аппараттық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кешеннің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дағдыларына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нұсқама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қосу-реттеу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жұмыстары-тестілік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күнінен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артық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C43B9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3B9" w:rsidRPr="00BA6700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9E" w:rsidRPr="00C45B9E" w:rsidRDefault="00AC43B9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жасалғаннан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жабдықты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жайда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дербес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компьютерді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МТНБ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бейнекамерасын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Ернемектік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тірекке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орнату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сәтінен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енгізумен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аяқтай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бүкіл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циклді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күндер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көрсете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орындаудың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ұсынуы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BA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200" w:rsidRPr="00C45B9E" w:rsidTr="0031137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C45B9E" w:rsidRDefault="00DD6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  <w:r w:rsidR="00B15200" w:rsidRPr="00C45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0" w:rsidRPr="00C45B9E" w:rsidRDefault="00DD66B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Орындаушы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жеңімпаз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онымен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жасасу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көрсетпегені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бермегені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қабылдамауға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берілмейді</w:t>
            </w:r>
            <w:proofErr w:type="spellEnd"/>
            <w:r w:rsidRPr="00C45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B1" w:rsidRPr="00C45B9E" w:rsidRDefault="007F28B1" w:rsidP="00DD66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35FFC" w:rsidRPr="00C45B9E" w:rsidRDefault="00935FFC" w:rsidP="00B73D8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35FFC" w:rsidRPr="00C45B9E" w:rsidSect="0041017A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 w15:restartNumberingAfterBreak="0">
    <w:nsid w:val="070A48C3"/>
    <w:multiLevelType w:val="hybridMultilevel"/>
    <w:tmpl w:val="652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5A8"/>
    <w:multiLevelType w:val="hybridMultilevel"/>
    <w:tmpl w:val="B73886E0"/>
    <w:lvl w:ilvl="0" w:tplc="BBECE18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kk-KZ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5FCFFC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02B"/>
    <w:multiLevelType w:val="hybridMultilevel"/>
    <w:tmpl w:val="2D0A63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AE0"/>
    <w:multiLevelType w:val="hybridMultilevel"/>
    <w:tmpl w:val="04D4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1307"/>
    <w:multiLevelType w:val="hybridMultilevel"/>
    <w:tmpl w:val="E726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7F5F"/>
    <w:multiLevelType w:val="multilevel"/>
    <w:tmpl w:val="79005B5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D4E5C"/>
    <w:multiLevelType w:val="hybridMultilevel"/>
    <w:tmpl w:val="9628E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C8F"/>
    <w:multiLevelType w:val="multilevel"/>
    <w:tmpl w:val="8DBAA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50CAC"/>
    <w:multiLevelType w:val="hybridMultilevel"/>
    <w:tmpl w:val="61A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598F"/>
    <w:multiLevelType w:val="hybridMultilevel"/>
    <w:tmpl w:val="BEBA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17D"/>
    <w:multiLevelType w:val="hybridMultilevel"/>
    <w:tmpl w:val="54105D58"/>
    <w:lvl w:ilvl="0" w:tplc="7722E03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C2"/>
    <w:multiLevelType w:val="multilevel"/>
    <w:tmpl w:val="5CE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E453C"/>
    <w:multiLevelType w:val="hybridMultilevel"/>
    <w:tmpl w:val="79005B54"/>
    <w:lvl w:ilvl="0" w:tplc="37DED1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0404"/>
    <w:multiLevelType w:val="multilevel"/>
    <w:tmpl w:val="4DEC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6C2C83"/>
    <w:multiLevelType w:val="hybridMultilevel"/>
    <w:tmpl w:val="026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0C50"/>
    <w:multiLevelType w:val="hybridMultilevel"/>
    <w:tmpl w:val="1CA0A8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F3E4AAF"/>
    <w:multiLevelType w:val="multilevel"/>
    <w:tmpl w:val="AA5E7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522F78"/>
    <w:multiLevelType w:val="multilevel"/>
    <w:tmpl w:val="4DEC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2274D8"/>
    <w:multiLevelType w:val="hybridMultilevel"/>
    <w:tmpl w:val="5328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21BBC"/>
    <w:multiLevelType w:val="hybridMultilevel"/>
    <w:tmpl w:val="8FF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630D"/>
    <w:multiLevelType w:val="multilevel"/>
    <w:tmpl w:val="4DEC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09347C"/>
    <w:multiLevelType w:val="multilevel"/>
    <w:tmpl w:val="FE56DC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3" w15:restartNumberingAfterBreak="0">
    <w:nsid w:val="76642462"/>
    <w:multiLevelType w:val="hybridMultilevel"/>
    <w:tmpl w:val="F6FA8A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3057DC"/>
    <w:multiLevelType w:val="hybridMultilevel"/>
    <w:tmpl w:val="5D2268DE"/>
    <w:lvl w:ilvl="0" w:tplc="E24654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0753"/>
    <w:multiLevelType w:val="multilevel"/>
    <w:tmpl w:val="8DBAA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20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9"/>
  </w:num>
  <w:num w:numId="15">
    <w:abstractNumId w:val="16"/>
  </w:num>
  <w:num w:numId="16">
    <w:abstractNumId w:val="2"/>
  </w:num>
  <w:num w:numId="17">
    <w:abstractNumId w:val="21"/>
  </w:num>
  <w:num w:numId="18">
    <w:abstractNumId w:val="24"/>
  </w:num>
  <w:num w:numId="19">
    <w:abstractNumId w:val="18"/>
  </w:num>
  <w:num w:numId="20">
    <w:abstractNumId w:val="14"/>
  </w:num>
  <w:num w:numId="21">
    <w:abstractNumId w:val="17"/>
  </w:num>
  <w:num w:numId="22">
    <w:abstractNumId w:val="13"/>
  </w:num>
  <w:num w:numId="23">
    <w:abstractNumId w:val="6"/>
  </w:num>
  <w:num w:numId="24">
    <w:abstractNumId w:val="8"/>
  </w:num>
  <w:num w:numId="25">
    <w:abstractNumId w:val="25"/>
  </w:num>
  <w:num w:numId="26">
    <w:abstractNumId w:val="2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4E"/>
    <w:rsid w:val="000045BA"/>
    <w:rsid w:val="000138FE"/>
    <w:rsid w:val="00032F05"/>
    <w:rsid w:val="00041E9B"/>
    <w:rsid w:val="000566BA"/>
    <w:rsid w:val="0006163C"/>
    <w:rsid w:val="0006190F"/>
    <w:rsid w:val="00071EC9"/>
    <w:rsid w:val="00077CCC"/>
    <w:rsid w:val="000950DD"/>
    <w:rsid w:val="000A2079"/>
    <w:rsid w:val="000B2216"/>
    <w:rsid w:val="000D1653"/>
    <w:rsid w:val="000E003F"/>
    <w:rsid w:val="000E0630"/>
    <w:rsid w:val="000E1C18"/>
    <w:rsid w:val="000F2597"/>
    <w:rsid w:val="000F31B2"/>
    <w:rsid w:val="00105A8E"/>
    <w:rsid w:val="00105B7A"/>
    <w:rsid w:val="001122BC"/>
    <w:rsid w:val="0011445C"/>
    <w:rsid w:val="00116481"/>
    <w:rsid w:val="00142630"/>
    <w:rsid w:val="001451AF"/>
    <w:rsid w:val="001536C9"/>
    <w:rsid w:val="00157004"/>
    <w:rsid w:val="00163A2B"/>
    <w:rsid w:val="00167807"/>
    <w:rsid w:val="00175B8A"/>
    <w:rsid w:val="00176AA9"/>
    <w:rsid w:val="0017712C"/>
    <w:rsid w:val="00185A70"/>
    <w:rsid w:val="001B5BEA"/>
    <w:rsid w:val="001D1233"/>
    <w:rsid w:val="001E6E9C"/>
    <w:rsid w:val="002039D4"/>
    <w:rsid w:val="002121AB"/>
    <w:rsid w:val="00233FD4"/>
    <w:rsid w:val="00243044"/>
    <w:rsid w:val="00260D1C"/>
    <w:rsid w:val="0028149D"/>
    <w:rsid w:val="00287DF0"/>
    <w:rsid w:val="00291AA2"/>
    <w:rsid w:val="002A40F5"/>
    <w:rsid w:val="002C52AC"/>
    <w:rsid w:val="002D0B51"/>
    <w:rsid w:val="002D1F6A"/>
    <w:rsid w:val="002D379B"/>
    <w:rsid w:val="002E0E30"/>
    <w:rsid w:val="002F0AE8"/>
    <w:rsid w:val="00311376"/>
    <w:rsid w:val="00312496"/>
    <w:rsid w:val="00316416"/>
    <w:rsid w:val="00320642"/>
    <w:rsid w:val="003224B3"/>
    <w:rsid w:val="00322874"/>
    <w:rsid w:val="003377F9"/>
    <w:rsid w:val="003422CE"/>
    <w:rsid w:val="0035510D"/>
    <w:rsid w:val="00361197"/>
    <w:rsid w:val="003809A5"/>
    <w:rsid w:val="003819A9"/>
    <w:rsid w:val="0039377A"/>
    <w:rsid w:val="0039676C"/>
    <w:rsid w:val="003A05FB"/>
    <w:rsid w:val="003A73A2"/>
    <w:rsid w:val="003B225B"/>
    <w:rsid w:val="003C6DBA"/>
    <w:rsid w:val="003D3AAA"/>
    <w:rsid w:val="003F6661"/>
    <w:rsid w:val="003F71E8"/>
    <w:rsid w:val="003F75A2"/>
    <w:rsid w:val="0041017A"/>
    <w:rsid w:val="00411114"/>
    <w:rsid w:val="00413236"/>
    <w:rsid w:val="004169E4"/>
    <w:rsid w:val="00425CF3"/>
    <w:rsid w:val="004311B9"/>
    <w:rsid w:val="0043506F"/>
    <w:rsid w:val="004619AD"/>
    <w:rsid w:val="004668E8"/>
    <w:rsid w:val="00466B70"/>
    <w:rsid w:val="00484A6C"/>
    <w:rsid w:val="00484EEE"/>
    <w:rsid w:val="004A3156"/>
    <w:rsid w:val="004A52A5"/>
    <w:rsid w:val="004A7CD9"/>
    <w:rsid w:val="004B3386"/>
    <w:rsid w:val="004C7411"/>
    <w:rsid w:val="004D21AB"/>
    <w:rsid w:val="004E334C"/>
    <w:rsid w:val="004E6671"/>
    <w:rsid w:val="004F2C6D"/>
    <w:rsid w:val="004F38E2"/>
    <w:rsid w:val="004F6D86"/>
    <w:rsid w:val="0050468B"/>
    <w:rsid w:val="00506BCF"/>
    <w:rsid w:val="005155D7"/>
    <w:rsid w:val="00523F66"/>
    <w:rsid w:val="00525170"/>
    <w:rsid w:val="00535F53"/>
    <w:rsid w:val="00542018"/>
    <w:rsid w:val="00553360"/>
    <w:rsid w:val="00555E26"/>
    <w:rsid w:val="005563F5"/>
    <w:rsid w:val="00563AFD"/>
    <w:rsid w:val="00564301"/>
    <w:rsid w:val="00592E0B"/>
    <w:rsid w:val="00595047"/>
    <w:rsid w:val="00596ABC"/>
    <w:rsid w:val="005A7083"/>
    <w:rsid w:val="005D0A26"/>
    <w:rsid w:val="005F239B"/>
    <w:rsid w:val="0062701E"/>
    <w:rsid w:val="006322E5"/>
    <w:rsid w:val="00634479"/>
    <w:rsid w:val="006368CC"/>
    <w:rsid w:val="00650774"/>
    <w:rsid w:val="00653760"/>
    <w:rsid w:val="00654006"/>
    <w:rsid w:val="006620C2"/>
    <w:rsid w:val="0066384E"/>
    <w:rsid w:val="00687AD7"/>
    <w:rsid w:val="00694176"/>
    <w:rsid w:val="006B07C4"/>
    <w:rsid w:val="006B60C5"/>
    <w:rsid w:val="006C0495"/>
    <w:rsid w:val="006C35AB"/>
    <w:rsid w:val="006D1AAE"/>
    <w:rsid w:val="006E6D8B"/>
    <w:rsid w:val="006E74C7"/>
    <w:rsid w:val="006F026E"/>
    <w:rsid w:val="006F1712"/>
    <w:rsid w:val="00705E1A"/>
    <w:rsid w:val="00720C28"/>
    <w:rsid w:val="00732EEA"/>
    <w:rsid w:val="007419AB"/>
    <w:rsid w:val="00746CA5"/>
    <w:rsid w:val="00752374"/>
    <w:rsid w:val="007627CE"/>
    <w:rsid w:val="00763F24"/>
    <w:rsid w:val="00764832"/>
    <w:rsid w:val="00771624"/>
    <w:rsid w:val="00772468"/>
    <w:rsid w:val="007724AF"/>
    <w:rsid w:val="007735FF"/>
    <w:rsid w:val="00773ADF"/>
    <w:rsid w:val="0077637A"/>
    <w:rsid w:val="00780E77"/>
    <w:rsid w:val="00782646"/>
    <w:rsid w:val="007841A2"/>
    <w:rsid w:val="00790DF9"/>
    <w:rsid w:val="007B06F1"/>
    <w:rsid w:val="007B272E"/>
    <w:rsid w:val="007B2C70"/>
    <w:rsid w:val="007C2285"/>
    <w:rsid w:val="007D21BC"/>
    <w:rsid w:val="007D22BD"/>
    <w:rsid w:val="007F28B1"/>
    <w:rsid w:val="008167F2"/>
    <w:rsid w:val="008208E4"/>
    <w:rsid w:val="00826563"/>
    <w:rsid w:val="008310EE"/>
    <w:rsid w:val="00835DB5"/>
    <w:rsid w:val="0084064F"/>
    <w:rsid w:val="00843C6E"/>
    <w:rsid w:val="008515AB"/>
    <w:rsid w:val="00855D44"/>
    <w:rsid w:val="008623B0"/>
    <w:rsid w:val="0086393B"/>
    <w:rsid w:val="00863D06"/>
    <w:rsid w:val="00864D6C"/>
    <w:rsid w:val="0087027F"/>
    <w:rsid w:val="00881048"/>
    <w:rsid w:val="0088274B"/>
    <w:rsid w:val="008A7275"/>
    <w:rsid w:val="008A754D"/>
    <w:rsid w:val="008B4D4E"/>
    <w:rsid w:val="008C4417"/>
    <w:rsid w:val="008C487F"/>
    <w:rsid w:val="008E0CD3"/>
    <w:rsid w:val="008F69A8"/>
    <w:rsid w:val="00935FFC"/>
    <w:rsid w:val="00944120"/>
    <w:rsid w:val="00950BA3"/>
    <w:rsid w:val="0095518B"/>
    <w:rsid w:val="00967A07"/>
    <w:rsid w:val="00977D48"/>
    <w:rsid w:val="00994DD4"/>
    <w:rsid w:val="009A5B05"/>
    <w:rsid w:val="009A71D8"/>
    <w:rsid w:val="009C27AA"/>
    <w:rsid w:val="009C3E88"/>
    <w:rsid w:val="009C6C53"/>
    <w:rsid w:val="009D1329"/>
    <w:rsid w:val="009D57EB"/>
    <w:rsid w:val="009E2AA4"/>
    <w:rsid w:val="009E2ADC"/>
    <w:rsid w:val="009E3509"/>
    <w:rsid w:val="009F167B"/>
    <w:rsid w:val="009F3DB0"/>
    <w:rsid w:val="009F6004"/>
    <w:rsid w:val="00A02471"/>
    <w:rsid w:val="00A03DE3"/>
    <w:rsid w:val="00A04C8E"/>
    <w:rsid w:val="00A160DB"/>
    <w:rsid w:val="00A22E8B"/>
    <w:rsid w:val="00A237BA"/>
    <w:rsid w:val="00A24FF7"/>
    <w:rsid w:val="00A35A25"/>
    <w:rsid w:val="00A516EE"/>
    <w:rsid w:val="00A524FB"/>
    <w:rsid w:val="00A54DF1"/>
    <w:rsid w:val="00A56139"/>
    <w:rsid w:val="00A6239E"/>
    <w:rsid w:val="00A64B51"/>
    <w:rsid w:val="00A721B5"/>
    <w:rsid w:val="00A736D5"/>
    <w:rsid w:val="00A75C29"/>
    <w:rsid w:val="00A96155"/>
    <w:rsid w:val="00AA5DA3"/>
    <w:rsid w:val="00AB2987"/>
    <w:rsid w:val="00AB4B5B"/>
    <w:rsid w:val="00AC43B9"/>
    <w:rsid w:val="00AC5DB5"/>
    <w:rsid w:val="00AC7D7E"/>
    <w:rsid w:val="00AD0884"/>
    <w:rsid w:val="00AE241D"/>
    <w:rsid w:val="00AF4A56"/>
    <w:rsid w:val="00AF523E"/>
    <w:rsid w:val="00B01F1B"/>
    <w:rsid w:val="00B12AE2"/>
    <w:rsid w:val="00B15200"/>
    <w:rsid w:val="00B4379B"/>
    <w:rsid w:val="00B543AD"/>
    <w:rsid w:val="00B57B79"/>
    <w:rsid w:val="00B71156"/>
    <w:rsid w:val="00B73D8D"/>
    <w:rsid w:val="00B92233"/>
    <w:rsid w:val="00BA4253"/>
    <w:rsid w:val="00BA5425"/>
    <w:rsid w:val="00BC3CE9"/>
    <w:rsid w:val="00BC7F39"/>
    <w:rsid w:val="00BD34BD"/>
    <w:rsid w:val="00BD403F"/>
    <w:rsid w:val="00BD5A16"/>
    <w:rsid w:val="00C00C8C"/>
    <w:rsid w:val="00C03502"/>
    <w:rsid w:val="00C045B6"/>
    <w:rsid w:val="00C1658B"/>
    <w:rsid w:val="00C27DC0"/>
    <w:rsid w:val="00C32A0E"/>
    <w:rsid w:val="00C40FA0"/>
    <w:rsid w:val="00C4361A"/>
    <w:rsid w:val="00C45B9E"/>
    <w:rsid w:val="00C4622C"/>
    <w:rsid w:val="00C50871"/>
    <w:rsid w:val="00C75E50"/>
    <w:rsid w:val="00C8090D"/>
    <w:rsid w:val="00C8168C"/>
    <w:rsid w:val="00C81A89"/>
    <w:rsid w:val="00C85996"/>
    <w:rsid w:val="00C9312A"/>
    <w:rsid w:val="00C93AD1"/>
    <w:rsid w:val="00CC5A19"/>
    <w:rsid w:val="00CC7B33"/>
    <w:rsid w:val="00CD2D13"/>
    <w:rsid w:val="00CD7E1F"/>
    <w:rsid w:val="00CE26CA"/>
    <w:rsid w:val="00CF0DA9"/>
    <w:rsid w:val="00D04411"/>
    <w:rsid w:val="00D1218C"/>
    <w:rsid w:val="00D1619D"/>
    <w:rsid w:val="00D21F44"/>
    <w:rsid w:val="00D2234A"/>
    <w:rsid w:val="00D26768"/>
    <w:rsid w:val="00D30077"/>
    <w:rsid w:val="00D35742"/>
    <w:rsid w:val="00D450AC"/>
    <w:rsid w:val="00D7597D"/>
    <w:rsid w:val="00D7713E"/>
    <w:rsid w:val="00D94044"/>
    <w:rsid w:val="00DA2D74"/>
    <w:rsid w:val="00DA4A90"/>
    <w:rsid w:val="00DC1258"/>
    <w:rsid w:val="00DC1FF7"/>
    <w:rsid w:val="00DC2E1E"/>
    <w:rsid w:val="00DC4945"/>
    <w:rsid w:val="00DC5A5B"/>
    <w:rsid w:val="00DD66BD"/>
    <w:rsid w:val="00DE0AD0"/>
    <w:rsid w:val="00DF18C6"/>
    <w:rsid w:val="00DF7AF8"/>
    <w:rsid w:val="00E11E94"/>
    <w:rsid w:val="00E2621F"/>
    <w:rsid w:val="00E37B2A"/>
    <w:rsid w:val="00E577AC"/>
    <w:rsid w:val="00E678BC"/>
    <w:rsid w:val="00E777F6"/>
    <w:rsid w:val="00E81A87"/>
    <w:rsid w:val="00E94412"/>
    <w:rsid w:val="00E96A85"/>
    <w:rsid w:val="00E97C58"/>
    <w:rsid w:val="00EA7C45"/>
    <w:rsid w:val="00EB0BB0"/>
    <w:rsid w:val="00EB4398"/>
    <w:rsid w:val="00EB5C43"/>
    <w:rsid w:val="00EB70D9"/>
    <w:rsid w:val="00EB7272"/>
    <w:rsid w:val="00EC0607"/>
    <w:rsid w:val="00ED3841"/>
    <w:rsid w:val="00EE250A"/>
    <w:rsid w:val="00EF4BEC"/>
    <w:rsid w:val="00EF695E"/>
    <w:rsid w:val="00EF7ABB"/>
    <w:rsid w:val="00F12633"/>
    <w:rsid w:val="00F22D6B"/>
    <w:rsid w:val="00F279DB"/>
    <w:rsid w:val="00F424CA"/>
    <w:rsid w:val="00F5424C"/>
    <w:rsid w:val="00F57FE7"/>
    <w:rsid w:val="00F63344"/>
    <w:rsid w:val="00F76B7C"/>
    <w:rsid w:val="00F91952"/>
    <w:rsid w:val="00FA794B"/>
    <w:rsid w:val="00FB7D4D"/>
    <w:rsid w:val="00FC070C"/>
    <w:rsid w:val="00FC43BE"/>
    <w:rsid w:val="00FC5CEF"/>
    <w:rsid w:val="00FD27C2"/>
    <w:rsid w:val="00FD3BFD"/>
    <w:rsid w:val="00FD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238-7149-4899-A608-E62B27F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4D4E"/>
    <w:pPr>
      <w:spacing w:after="0" w:line="240" w:lineRule="auto"/>
    </w:pPr>
  </w:style>
  <w:style w:type="paragraph" w:styleId="a7">
    <w:name w:val="Normal (Web)"/>
    <w:basedOn w:val="a1"/>
    <w:uiPriority w:val="99"/>
    <w:unhideWhenUsed/>
    <w:rsid w:val="008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1"/>
    <w:uiPriority w:val="34"/>
    <w:qFormat/>
    <w:rsid w:val="003F75A2"/>
    <w:pPr>
      <w:ind w:left="720"/>
      <w:contextualSpacing/>
    </w:pPr>
  </w:style>
  <w:style w:type="paragraph" w:customStyle="1" w:styleId="a0">
    <w:name w:val="Абзац первого уровня"/>
    <w:basedOn w:val="a1"/>
    <w:link w:val="a9"/>
    <w:uiPriority w:val="99"/>
    <w:qFormat/>
    <w:rsid w:val="0006163C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Абзац первого уровня Знак"/>
    <w:basedOn w:val="a2"/>
    <w:link w:val="a0"/>
    <w:uiPriority w:val="99"/>
    <w:rsid w:val="0006163C"/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Абзац второго уровня"/>
    <w:basedOn w:val="a1"/>
    <w:link w:val="aa"/>
    <w:qFormat/>
    <w:rsid w:val="0006163C"/>
    <w:pPr>
      <w:numPr>
        <w:numId w:val="8"/>
      </w:num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character" w:customStyle="1" w:styleId="aa">
    <w:name w:val="Абзац второго уровня Знак"/>
    <w:basedOn w:val="a2"/>
    <w:link w:val="a"/>
    <w:rsid w:val="0006163C"/>
    <w:rPr>
      <w:rFonts w:ascii="Calibri" w:eastAsia="Times New Roman" w:hAnsi="Calibri" w:cs="ArialMT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7C2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C2285"/>
    <w:rPr>
      <w:rFonts w:ascii="Courier New" w:eastAsia="Times New Roman" w:hAnsi="Courier New" w:cs="Courier New"/>
      <w:sz w:val="20"/>
      <w:szCs w:val="20"/>
    </w:rPr>
  </w:style>
  <w:style w:type="paragraph" w:styleId="ab">
    <w:name w:val="caption"/>
    <w:basedOn w:val="a1"/>
    <w:qFormat/>
    <w:rsid w:val="00C45B9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C95B-2823-4966-AAB6-09E540D3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</dc:creator>
  <cp:lastModifiedBy>Malachow Sergey A.</cp:lastModifiedBy>
  <cp:revision>5</cp:revision>
  <cp:lastPrinted>2015-12-30T10:03:00Z</cp:lastPrinted>
  <dcterms:created xsi:type="dcterms:W3CDTF">2021-06-25T02:32:00Z</dcterms:created>
  <dcterms:modified xsi:type="dcterms:W3CDTF">2021-06-25T04:13:00Z</dcterms:modified>
</cp:coreProperties>
</file>