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A" w:rsidRPr="00DD7842" w:rsidRDefault="0080077A" w:rsidP="0080077A">
      <w:pPr>
        <w:rPr>
          <w:rFonts w:ascii="Times New Roman" w:hAnsi="Times New Roman"/>
          <w:b/>
          <w:sz w:val="28"/>
          <w:szCs w:val="28"/>
        </w:rPr>
      </w:pPr>
    </w:p>
    <w:p w:rsidR="00AA0486" w:rsidRDefault="0092721B" w:rsidP="009272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80077A" w:rsidRPr="00DD7842">
        <w:rPr>
          <w:rFonts w:ascii="Times New Roman" w:hAnsi="Times New Roman"/>
          <w:b/>
          <w:sz w:val="28"/>
          <w:szCs w:val="28"/>
        </w:rPr>
        <w:t xml:space="preserve">Техническая спецификация </w:t>
      </w:r>
    </w:p>
    <w:p w:rsidR="00AC4778" w:rsidRPr="00E16EB3" w:rsidRDefault="00AC4778" w:rsidP="0092721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E16EB3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Pr="00E16EB3">
        <w:rPr>
          <w:rFonts w:ascii="Times New Roman" w:eastAsia="Calibri" w:hAnsi="Times New Roman"/>
          <w:b/>
          <w:sz w:val="24"/>
          <w:szCs w:val="24"/>
          <w:lang w:val="kk-KZ"/>
        </w:rPr>
        <w:t xml:space="preserve">государственному </w:t>
      </w:r>
      <w:r w:rsidRPr="00E16EB3">
        <w:rPr>
          <w:rFonts w:ascii="Times New Roman" w:eastAsia="Calibri" w:hAnsi="Times New Roman"/>
          <w:b/>
          <w:sz w:val="24"/>
          <w:szCs w:val="24"/>
        </w:rPr>
        <w:t>закупу</w:t>
      </w:r>
      <w:r w:rsidRPr="00E16EB3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Pr="00E16EB3">
        <w:rPr>
          <w:rFonts w:ascii="Times New Roman" w:eastAsia="Calibri" w:hAnsi="Times New Roman"/>
          <w:b/>
          <w:sz w:val="24"/>
          <w:szCs w:val="24"/>
        </w:rPr>
        <w:t>«</w:t>
      </w:r>
      <w:r w:rsidRPr="00AC4778">
        <w:rPr>
          <w:rFonts w:ascii="Times New Roman" w:eastAsia="Calibri" w:hAnsi="Times New Roman"/>
          <w:b/>
          <w:sz w:val="24"/>
          <w:szCs w:val="24"/>
        </w:rPr>
        <w:t>Сервер для системы графического оформления эфира</w:t>
      </w:r>
      <w:r w:rsidRPr="00E16EB3">
        <w:rPr>
          <w:rFonts w:ascii="Times New Roman" w:eastAsia="Calibri" w:hAnsi="Times New Roman"/>
          <w:b/>
          <w:sz w:val="24"/>
          <w:szCs w:val="24"/>
        </w:rPr>
        <w:t xml:space="preserve">» </w:t>
      </w: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77042F" w:rsidRPr="00E16EB3" w:rsidTr="00B66E1F">
        <w:tc>
          <w:tcPr>
            <w:tcW w:w="425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77042F" w:rsidRPr="00E16EB3" w:rsidTr="00B66E1F">
        <w:tc>
          <w:tcPr>
            <w:tcW w:w="425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77042F" w:rsidRPr="00CF5160" w:rsidRDefault="0077042F" w:rsidP="00B66E1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042F" w:rsidRPr="00E16EB3" w:rsidTr="00B66E1F">
        <w:trPr>
          <w:trHeight w:val="333"/>
        </w:trPr>
        <w:tc>
          <w:tcPr>
            <w:tcW w:w="425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16EB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77042F" w:rsidRPr="00E16EB3" w:rsidTr="00B66E1F">
        <w:trPr>
          <w:trHeight w:val="161"/>
        </w:trPr>
        <w:tc>
          <w:tcPr>
            <w:tcW w:w="425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77042F" w:rsidRPr="0077042F" w:rsidRDefault="00B57AE9" w:rsidP="00B66E1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77042F" w:rsidRPr="00642DCF" w:rsidTr="00B66E1F">
        <w:tc>
          <w:tcPr>
            <w:tcW w:w="425" w:type="dxa"/>
          </w:tcPr>
          <w:p w:rsidR="0077042F" w:rsidRPr="000C1E15" w:rsidRDefault="000C1E15" w:rsidP="00B66E1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095D6E" w:rsidRDefault="00175F04" w:rsidP="0017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04">
              <w:rPr>
                <w:rFonts w:ascii="Times New Roman" w:hAnsi="Times New Roman" w:cs="Times New Roman"/>
                <w:sz w:val="24"/>
                <w:szCs w:val="24"/>
              </w:rPr>
              <w:t xml:space="preserve">Сервера </w:t>
            </w:r>
            <w:r w:rsidRPr="00175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предназначены для переноса системы хранения графических шаблонов оформления новостного сайта </w:t>
            </w:r>
            <w:proofErr w:type="spellStart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>VizRT</w:t>
            </w:r>
            <w:proofErr w:type="spellEnd"/>
            <w:r w:rsidRPr="00175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>VizContent</w:t>
            </w:r>
            <w:proofErr w:type="spellEnd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 xml:space="preserve"> c СУБД </w:t>
            </w:r>
            <w:proofErr w:type="spellStart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>Oracle</w:t>
            </w:r>
            <w:proofErr w:type="spellEnd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 xml:space="preserve"> на собственную СУБД </w:t>
            </w:r>
            <w:proofErr w:type="spellStart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>VizRT</w:t>
            </w:r>
            <w:proofErr w:type="spellEnd"/>
            <w:r w:rsidRPr="0017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F04" w:rsidRDefault="00095D6E" w:rsidP="00175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6A">
              <w:rPr>
                <w:rFonts w:ascii="Times New Roman" w:hAnsi="Times New Roman" w:cs="Times New Roman"/>
                <w:sz w:val="24"/>
                <w:szCs w:val="24"/>
              </w:rPr>
              <w:t>В состав сервера для системы графического оформления эфира входит:</w:t>
            </w:r>
          </w:p>
          <w:p w:rsidR="0077042F" w:rsidRPr="000C1E15" w:rsidRDefault="0077042F" w:rsidP="0063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Процессор: Не ниже следующих характеристик: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2 процессора,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8 ядер/16 потоков, частота не менее 3,2 ГГц в базовых частотах, не менее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Мбайт кэш-памяти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3-го уровня, литография не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14нм, </w:t>
            </w:r>
            <w:proofErr w:type="spellStart"/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теплопакет</w:t>
            </w:r>
            <w:proofErr w:type="spellEnd"/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130Вт.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ОЗУ: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4-2933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ECC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технологией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registered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SDRAM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, CAS-21-21-21.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Слоты памяти: Не менее 24.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диск,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-контроллер жестких дисков: Не ниже следующих: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, скорость вращения не ниже 15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, емкостью не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Гбайт, форм-фактор 2,5 дюйма (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SFF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), не менее 4шт.</w:t>
            </w:r>
          </w:p>
          <w:p w:rsidR="0077042F" w:rsidRPr="0077042F" w:rsidRDefault="0077042F" w:rsidP="0077042F">
            <w:pPr>
              <w:rPr>
                <w:rFonts w:ascii="Times New Roman" w:hAnsi="Times New Roman"/>
                <w:color w:val="222222"/>
                <w:sz w:val="24"/>
                <w:szCs w:val="21"/>
                <w:shd w:val="clear" w:color="auto" w:fill="FFFFFF"/>
              </w:rPr>
            </w:pP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не ниже следующих характеристик: внутренний, тип-модульный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встроенный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6.0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встроенный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637300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8 линий с поддержкой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0, 1, 5, 10, 50, 60;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-контроллер с поддержкой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 0, 1, 10 для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-дисков, объем кэш-памяти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-контроллера не менее 2Гб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4-2100, поддержка технологии оптимизации пути обращения к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 xml:space="preserve">-дискам в любых </w:t>
            </w:r>
            <w:r w:rsidRPr="000C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0C1E15">
              <w:rPr>
                <w:rFonts w:ascii="Times New Roman" w:hAnsi="Times New Roman" w:cs="Times New Roman"/>
                <w:sz w:val="24"/>
                <w:szCs w:val="24"/>
              </w:rPr>
              <w:t>-массивах с ускорением их работы до 4-х раз, соответствие сертификату не ниже FIPS 140-2 Уровень Слоты расширения:</w:t>
            </w:r>
            <w:r w:rsidR="00637300">
              <w:rPr>
                <w:rFonts w:ascii="Times New Roman" w:hAnsi="Times New Roman"/>
                <w:color w:val="222222"/>
                <w:sz w:val="24"/>
                <w:szCs w:val="21"/>
                <w:shd w:val="clear" w:color="auto" w:fill="FFFFFF"/>
              </w:rPr>
              <w:t xml:space="preserve"> не менее </w:t>
            </w:r>
            <w:r w:rsidRPr="00201C7F">
              <w:rPr>
                <w:rFonts w:ascii="Times New Roman" w:hAnsi="Times New Roman"/>
                <w:color w:val="222222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1"/>
                <w:shd w:val="clear" w:color="auto" w:fill="FFFFFF"/>
              </w:rPr>
              <w:t>2</w:t>
            </w:r>
            <w:r w:rsidRPr="00201C7F">
              <w:rPr>
                <w:rFonts w:ascii="Times New Roman" w:hAnsi="Times New Roman"/>
                <w:color w:val="222222"/>
                <w:sz w:val="24"/>
                <w:szCs w:val="21"/>
                <w:shd w:val="clear" w:color="auto" w:fill="FFFFFF"/>
              </w:rPr>
              <w:t xml:space="preserve"> слотов </w:t>
            </w:r>
            <w:proofErr w:type="spellStart"/>
            <w:r w:rsidRPr="00201C7F">
              <w:rPr>
                <w:rFonts w:ascii="Times New Roman" w:hAnsi="Times New Roman"/>
                <w:color w:val="222222"/>
                <w:sz w:val="24"/>
                <w:szCs w:val="21"/>
                <w:shd w:val="clear" w:color="auto" w:fill="FFFFFF"/>
              </w:rPr>
              <w:t>PCIe</w:t>
            </w:r>
            <w:proofErr w:type="spellEnd"/>
            <w:r w:rsidRPr="00201C7F">
              <w:rPr>
                <w:rFonts w:ascii="Times New Roman" w:hAnsi="Times New Roman"/>
                <w:color w:val="222222"/>
                <w:sz w:val="24"/>
                <w:szCs w:val="21"/>
                <w:shd w:val="clear" w:color="auto" w:fill="FFFFFF"/>
              </w:rPr>
              <w:t xml:space="preserve"> 3.0</w:t>
            </w:r>
            <w:r w:rsidRPr="0077042F">
              <w:rPr>
                <w:rFonts w:ascii="Times New Roman" w:hAnsi="Times New Roman"/>
                <w:color w:val="222222"/>
                <w:sz w:val="24"/>
                <w:szCs w:val="21"/>
                <w:shd w:val="clear" w:color="auto" w:fill="FFFFFF"/>
              </w:rPr>
              <w:t>.</w:t>
            </w:r>
          </w:p>
          <w:p w:rsidR="0077042F" w:rsidRDefault="0077042F" w:rsidP="0077042F">
            <w:pPr>
              <w:rPr>
                <w:rFonts w:ascii="Times New Roman" w:hAnsi="Times New Roman"/>
                <w:sz w:val="24"/>
                <w:szCs w:val="24"/>
              </w:rPr>
            </w:pPr>
            <w:r w:rsidRPr="00DD7842">
              <w:rPr>
                <w:rFonts w:ascii="Times New Roman" w:hAnsi="Times New Roman"/>
                <w:sz w:val="24"/>
                <w:szCs w:val="24"/>
              </w:rPr>
              <w:t>Сетевой адаптер</w:t>
            </w:r>
            <w:r w:rsidRPr="007704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D7842">
              <w:rPr>
                <w:rFonts w:ascii="Times New Roman" w:hAnsi="Times New Roman"/>
                <w:sz w:val="24"/>
                <w:szCs w:val="24"/>
              </w:rPr>
              <w:t>Встроенный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7842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портов</w:t>
            </w: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842">
              <w:rPr>
                <w:rFonts w:ascii="Times New Roman" w:hAnsi="Times New Roman"/>
                <w:sz w:val="24"/>
                <w:szCs w:val="24"/>
              </w:rPr>
              <w:t>10/100/1000</w:t>
            </w:r>
            <w:r>
              <w:rPr>
                <w:rFonts w:ascii="Times New Roman" w:hAnsi="Times New Roman"/>
                <w:sz w:val="24"/>
                <w:szCs w:val="24"/>
              </w:rPr>
              <w:t>Мбит/сек</w:t>
            </w:r>
            <w:r w:rsidRPr="00DD7842">
              <w:rPr>
                <w:rFonts w:ascii="Times New Roman" w:hAnsi="Times New Roman"/>
                <w:sz w:val="24"/>
                <w:szCs w:val="24"/>
              </w:rPr>
              <w:t xml:space="preserve"> с авто-определением</w:t>
            </w:r>
            <w:r w:rsidRPr="0077042F">
              <w:rPr>
                <w:rFonts w:ascii="Times New Roman" w:hAnsi="Times New Roman"/>
                <w:sz w:val="24"/>
                <w:szCs w:val="24"/>
              </w:rPr>
              <w:t>.</w:t>
            </w:r>
            <w:r w:rsidR="0063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D7842">
              <w:rPr>
                <w:rFonts w:ascii="Times New Roman" w:hAnsi="Times New Roman"/>
                <w:sz w:val="24"/>
                <w:szCs w:val="24"/>
              </w:rPr>
              <w:t>адаптер</w:t>
            </w:r>
            <w:r w:rsidRPr="007704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Базовая частота графического процессора не </w:t>
            </w:r>
            <w:r w:rsidR="00637300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1005</w:t>
            </w:r>
            <w:r w:rsidR="0063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МГц, тип оперативной памяти н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DDR</w:t>
            </w:r>
            <w:r>
              <w:rPr>
                <w:rFonts w:ascii="Times New Roman" w:hAnsi="Times New Roman"/>
                <w:sz w:val="24"/>
                <w:szCs w:val="24"/>
              </w:rPr>
              <w:t>6, объем не менее 8ГБ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911B6A">
              <w:rPr>
                <w:rFonts w:ascii="Times New Roman" w:hAnsi="Times New Roman"/>
                <w:sz w:val="24"/>
                <w:szCs w:val="24"/>
              </w:rPr>
              <w:t>ффективная частота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637300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911B6A">
              <w:rPr>
                <w:rFonts w:ascii="Times New Roman" w:hAnsi="Times New Roman"/>
                <w:sz w:val="24"/>
                <w:szCs w:val="24"/>
              </w:rPr>
              <w:t>7119 МГц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 ширина шины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памяти </w:t>
            </w:r>
            <w:r w:rsidR="0063730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6A97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бит, подключение по </w:t>
            </w:r>
            <w:r w:rsidRPr="006D5B48">
              <w:rPr>
                <w:rFonts w:ascii="Times New Roman" w:hAnsi="Times New Roman"/>
                <w:sz w:val="24"/>
                <w:szCs w:val="24"/>
              </w:rPr>
              <w:lastRenderedPageBreak/>
              <w:t>интерфейс</w:t>
            </w:r>
            <w:r w:rsidR="00637300">
              <w:rPr>
                <w:rFonts w:ascii="Times New Roman" w:hAnsi="Times New Roman"/>
                <w:sz w:val="24"/>
                <w:szCs w:val="24"/>
              </w:rPr>
              <w:t xml:space="preserve">у не ниже PCI </w:t>
            </w:r>
            <w:proofErr w:type="spellStart"/>
            <w:r w:rsidR="00637300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="00637300">
              <w:rPr>
                <w:rFonts w:ascii="Times New Roman" w:hAnsi="Times New Roman"/>
                <w:sz w:val="24"/>
                <w:szCs w:val="24"/>
              </w:rPr>
              <w:t xml:space="preserve"> 3.0 x 16, 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производительность операций с плавающей точкой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6A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B48">
              <w:rPr>
                <w:rFonts w:ascii="Times New Roman" w:hAnsi="Times New Roman"/>
                <w:sz w:val="24"/>
                <w:szCs w:val="24"/>
                <w:lang w:val="en-US"/>
              </w:rPr>
              <w:t>TFLOPS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1B6A">
              <w:rPr>
                <w:rFonts w:ascii="Times New Roman" w:hAnsi="Times New Roman"/>
                <w:sz w:val="24"/>
                <w:szCs w:val="24"/>
              </w:rPr>
              <w:t>аксимальная пропускная способность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B6A">
              <w:rPr>
                <w:rFonts w:ascii="Times New Roman" w:hAnsi="Times New Roman"/>
                <w:sz w:val="24"/>
                <w:szCs w:val="24"/>
              </w:rPr>
              <w:t>416 Гбайт/сек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, количество универсальных ядер не менее </w:t>
            </w:r>
            <w:r>
              <w:rPr>
                <w:rFonts w:ascii="Times New Roman" w:hAnsi="Times New Roman"/>
                <w:sz w:val="24"/>
                <w:szCs w:val="24"/>
              </w:rPr>
              <w:t>2304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, количество портов </w:t>
            </w:r>
            <w:r w:rsidRPr="006D5B48">
              <w:rPr>
                <w:rFonts w:ascii="Times New Roman" w:hAnsi="Times New Roman"/>
                <w:sz w:val="24"/>
                <w:szCs w:val="24"/>
                <w:lang w:val="en-US"/>
              </w:rPr>
              <w:t>Display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B48">
              <w:rPr>
                <w:rFonts w:ascii="Times New Roman" w:hAnsi="Times New Roman"/>
                <w:sz w:val="24"/>
                <w:szCs w:val="24"/>
                <w:lang w:val="en-US"/>
              </w:rPr>
              <w:t>port</w:t>
            </w:r>
            <w:r w:rsidRPr="00AB4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порта 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USB-C</w:t>
            </w:r>
            <w:r w:rsidRPr="00AB4CF1">
              <w:rPr>
                <w:rFonts w:ascii="Helvetica" w:hAnsi="Helvetica" w:cs="Helvetica"/>
                <w:color w:val="333333"/>
                <w:shd w:val="clear" w:color="auto" w:fill="FFFFFF"/>
              </w:rPr>
              <w:t>,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 поддержка графических </w:t>
            </w:r>
            <w:r w:rsidRPr="006D5B48">
              <w:rPr>
                <w:rFonts w:ascii="Times New Roman" w:hAnsi="Times New Roman"/>
                <w:sz w:val="24"/>
                <w:szCs w:val="24"/>
                <w:lang w:val="en-US"/>
              </w:rPr>
              <w:t>API</w:t>
            </w:r>
            <w:r w:rsidRPr="006D5B48">
              <w:rPr>
                <w:rFonts w:ascii="Times New Roman" w:hAnsi="Times New Roman"/>
                <w:sz w:val="24"/>
                <w:szCs w:val="24"/>
              </w:rPr>
              <w:t xml:space="preserve"> не ниже </w:t>
            </w:r>
            <w:proofErr w:type="spellStart"/>
            <w:r w:rsidRPr="006D5B48">
              <w:rPr>
                <w:rFonts w:ascii="Times New Roman" w:hAnsi="Times New Roman"/>
                <w:sz w:val="24"/>
                <w:szCs w:val="24"/>
              </w:rPr>
              <w:t>Shader</w:t>
            </w:r>
            <w:proofErr w:type="spellEnd"/>
            <w:r w:rsidRPr="006D5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5B48">
              <w:rPr>
                <w:rFonts w:ascii="Times New Roman" w:hAnsi="Times New Roman"/>
                <w:sz w:val="24"/>
                <w:szCs w:val="24"/>
              </w:rPr>
              <w:t>Model</w:t>
            </w:r>
            <w:proofErr w:type="spellEnd"/>
            <w:r w:rsidRPr="006D5B48">
              <w:rPr>
                <w:rFonts w:ascii="Times New Roman" w:hAnsi="Times New Roman"/>
                <w:sz w:val="24"/>
                <w:szCs w:val="24"/>
              </w:rPr>
              <w:t xml:space="preserve"> 5.1, </w:t>
            </w:r>
            <w:proofErr w:type="spellStart"/>
            <w:r w:rsidRPr="006D5B48">
              <w:rPr>
                <w:rFonts w:ascii="Times New Roman" w:hAnsi="Times New Roman"/>
                <w:sz w:val="24"/>
                <w:szCs w:val="24"/>
              </w:rPr>
              <w:t>OpenGL</w:t>
            </w:r>
            <w:proofErr w:type="spellEnd"/>
            <w:r w:rsidRPr="006D5B48">
              <w:rPr>
                <w:rFonts w:ascii="Times New Roman" w:hAnsi="Times New Roman"/>
                <w:sz w:val="24"/>
                <w:szCs w:val="24"/>
              </w:rPr>
              <w:t xml:space="preserve"> 4.5, </w:t>
            </w:r>
            <w:proofErr w:type="spellStart"/>
            <w:r w:rsidRPr="006D5B48">
              <w:rPr>
                <w:rFonts w:ascii="Times New Roman" w:hAnsi="Times New Roman"/>
                <w:sz w:val="24"/>
                <w:szCs w:val="24"/>
              </w:rPr>
              <w:t>DirectX</w:t>
            </w:r>
            <w:proofErr w:type="spellEnd"/>
            <w:r w:rsidRPr="006D5B48">
              <w:rPr>
                <w:rFonts w:ascii="Times New Roman" w:hAnsi="Times New Roman"/>
                <w:sz w:val="24"/>
                <w:szCs w:val="24"/>
              </w:rPr>
              <w:t xml:space="preserve"> 12.0, </w:t>
            </w:r>
            <w:proofErr w:type="spellStart"/>
            <w:r w:rsidRPr="006D5B48">
              <w:rPr>
                <w:rFonts w:ascii="Times New Roman" w:hAnsi="Times New Roman"/>
                <w:sz w:val="24"/>
                <w:szCs w:val="24"/>
              </w:rPr>
              <w:t>Vulkan</w:t>
            </w:r>
            <w:proofErr w:type="spellEnd"/>
            <w:r w:rsidRPr="006D5B48">
              <w:rPr>
                <w:rFonts w:ascii="Times New Roman" w:hAnsi="Times New Roman"/>
                <w:sz w:val="24"/>
                <w:szCs w:val="24"/>
              </w:rPr>
              <w:t xml:space="preserve"> 1.0</w:t>
            </w:r>
            <w:r w:rsidRPr="006C44D8">
              <w:rPr>
                <w:rFonts w:ascii="Times New Roman" w:hAnsi="Times New Roman"/>
                <w:sz w:val="24"/>
                <w:szCs w:val="24"/>
              </w:rPr>
              <w:t>.</w:t>
            </w:r>
            <w:r w:rsidRPr="00ED6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</w:t>
            </w:r>
            <w:r w:rsidR="00637300">
              <w:rPr>
                <w:rFonts w:ascii="Times New Roman" w:hAnsi="Times New Roman"/>
                <w:sz w:val="24"/>
                <w:szCs w:val="24"/>
              </w:rPr>
              <w:t xml:space="preserve">симальная потребляемая мощность </w:t>
            </w: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Pr="0077042F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Ватт</w:t>
            </w:r>
            <w:r w:rsidRPr="00ED6A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42F" w:rsidRPr="0077042F" w:rsidRDefault="0077042F" w:rsidP="0077042F">
            <w:pPr>
              <w:rPr>
                <w:rFonts w:ascii="Times New Roman" w:hAnsi="Times New Roman"/>
                <w:sz w:val="24"/>
                <w:szCs w:val="24"/>
              </w:rPr>
            </w:pPr>
            <w:r w:rsidRPr="00DD7842">
              <w:rPr>
                <w:rFonts w:ascii="Times New Roman" w:hAnsi="Times New Roman"/>
                <w:sz w:val="24"/>
                <w:szCs w:val="24"/>
              </w:rPr>
              <w:t>Блок питания</w:t>
            </w:r>
            <w:r w:rsidRPr="007704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D7842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4C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независимых блоков питания, каждый не менее </w:t>
            </w:r>
            <w:r w:rsidRPr="00AB4CF1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784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7842">
              <w:rPr>
                <w:rFonts w:ascii="Times New Roman" w:hAnsi="Times New Roman"/>
                <w:sz w:val="24"/>
                <w:szCs w:val="24"/>
              </w:rPr>
              <w:t xml:space="preserve"> с поддержкой активной коррекции коэффициента мощности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эффективностью не ниже 90% и </w:t>
            </w:r>
            <w:r w:rsidRPr="00D94FD2">
              <w:rPr>
                <w:rFonts w:ascii="Times New Roman" w:hAnsi="Times New Roman"/>
                <w:sz w:val="24"/>
                <w:szCs w:val="24"/>
              </w:rPr>
              <w:t>с возможностью горячей замены</w:t>
            </w:r>
            <w:r w:rsidRPr="007704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42F" w:rsidRDefault="0077042F" w:rsidP="00770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  <w:r w:rsidRPr="007704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Совместимая с системой графического оформления телевизионного эфира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VizRT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VizEngine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CCA">
              <w:rPr>
                <w:rFonts w:ascii="Times New Roman" w:hAnsi="Times New Roman"/>
                <w:sz w:val="24"/>
                <w:szCs w:val="24"/>
              </w:rPr>
              <w:t>3.8</w:t>
            </w:r>
            <w:r w:rsidRPr="005B6CB9">
              <w:rPr>
                <w:rFonts w:ascii="Times New Roman" w:hAnsi="Times New Roman"/>
                <w:sz w:val="24"/>
                <w:szCs w:val="24"/>
              </w:rPr>
              <w:t>/3.9</w:t>
            </w:r>
            <w:r w:rsidRPr="00395E7A">
              <w:rPr>
                <w:rFonts w:ascii="Times New Roman" w:hAnsi="Times New Roman"/>
                <w:sz w:val="24"/>
                <w:szCs w:val="24"/>
              </w:rPr>
              <w:t>/3.10/3.11/4.0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7D79">
              <w:rPr>
                <w:rFonts w:ascii="Times New Roman" w:hAnsi="Times New Roman"/>
                <w:sz w:val="24"/>
                <w:szCs w:val="24"/>
              </w:rPr>
              <w:t xml:space="preserve"> Не менее 64Bit </w:t>
            </w:r>
            <w:proofErr w:type="spellStart"/>
            <w:r w:rsidRPr="00137D79">
              <w:rPr>
                <w:rFonts w:ascii="Times New Roman" w:hAnsi="Times New Roman"/>
                <w:sz w:val="24"/>
                <w:szCs w:val="24"/>
              </w:rPr>
              <w:t>Lic</w:t>
            </w:r>
            <w:r>
              <w:rPr>
                <w:rFonts w:ascii="Times New Roman" w:hAnsi="Times New Roman"/>
                <w:sz w:val="24"/>
                <w:szCs w:val="24"/>
              </w:rPr>
              <w:t>ense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Профессиональная версия не ранее 2015 года, с русской локализацией</w:t>
            </w:r>
            <w:r w:rsidRPr="00137D79">
              <w:rPr>
                <w:rFonts w:ascii="Times New Roman" w:hAnsi="Times New Roman"/>
                <w:sz w:val="24"/>
                <w:szCs w:val="24"/>
              </w:rPr>
              <w:t>, встро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енная возможность подключения к </w:t>
            </w:r>
            <w:r w:rsidRPr="00137D79">
              <w:rPr>
                <w:rFonts w:ascii="Times New Roman" w:hAnsi="Times New Roman"/>
                <w:sz w:val="24"/>
                <w:szCs w:val="24"/>
              </w:rPr>
              <w:t>доменной сети AD, подде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ржка групповых политик, штатные </w:t>
            </w:r>
            <w:r w:rsidRPr="00137D79">
              <w:rPr>
                <w:rFonts w:ascii="Times New Roman" w:hAnsi="Times New Roman"/>
                <w:sz w:val="24"/>
                <w:szCs w:val="24"/>
              </w:rPr>
              <w:t>средства запуска виртуальных машин, вшитый образ ОС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D79">
              <w:rPr>
                <w:rFonts w:ascii="Times New Roman" w:hAnsi="Times New Roman"/>
                <w:sz w:val="24"/>
                <w:szCs w:val="24"/>
              </w:rPr>
              <w:t>возможностью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путем нажатия «горячих </w:t>
            </w:r>
            <w:r w:rsidRPr="00137D79">
              <w:rPr>
                <w:rFonts w:ascii="Times New Roman" w:hAnsi="Times New Roman"/>
                <w:sz w:val="24"/>
                <w:szCs w:val="24"/>
              </w:rPr>
              <w:t>клавиш» без применения уста</w:t>
            </w:r>
            <w:r>
              <w:rPr>
                <w:rFonts w:ascii="Times New Roman" w:hAnsi="Times New Roman"/>
                <w:sz w:val="24"/>
                <w:szCs w:val="24"/>
              </w:rPr>
              <w:t>новочного диска ОС на носителе.</w:t>
            </w:r>
          </w:p>
          <w:p w:rsidR="0077042F" w:rsidRPr="0077042F" w:rsidRDefault="0077042F" w:rsidP="0077042F">
            <w:pPr>
              <w:rPr>
                <w:rFonts w:ascii="Times New Roman" w:hAnsi="Times New Roman"/>
                <w:sz w:val="24"/>
                <w:szCs w:val="24"/>
              </w:rPr>
            </w:pPr>
            <w:r w:rsidRPr="0077042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Наличие механизма управления серверами в условиях отсутствия физического доступа к ним с функционалом графического веб-интерфейса, в том числе и полным удаленным управлением питания сервера, поддержки </w:t>
            </w:r>
            <w:r w:rsidRPr="0077042F">
              <w:rPr>
                <w:rFonts w:ascii="Times New Roman" w:hAnsi="Times New Roman"/>
                <w:sz w:val="24"/>
                <w:szCs w:val="21"/>
                <w:shd w:val="clear" w:color="auto" w:fill="FFFFFF"/>
                <w:lang w:val="en-US"/>
              </w:rPr>
              <w:t>SSL</w:t>
            </w:r>
            <w:r w:rsidRPr="0077042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-шифрования соединения и доступу к интерфейсам </w:t>
            </w:r>
            <w:r w:rsidRPr="0077042F">
              <w:rPr>
                <w:rFonts w:ascii="Times New Roman" w:hAnsi="Times New Roman"/>
                <w:sz w:val="24"/>
                <w:szCs w:val="21"/>
                <w:shd w:val="clear" w:color="auto" w:fill="FFFFFF"/>
                <w:lang w:val="en-US"/>
              </w:rPr>
              <w:t>IPMI</w:t>
            </w:r>
            <w:r w:rsidRPr="0077042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, работающего по собственному сетевому порту</w:t>
            </w:r>
          </w:p>
          <w:p w:rsidR="000C1E15" w:rsidRPr="0077042F" w:rsidRDefault="00B57AE9" w:rsidP="00B66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CF">
              <w:rPr>
                <w:rFonts w:ascii="Times New Roman" w:eastAsia="Calibri" w:hAnsi="Times New Roman" w:cs="Times New Roman"/>
                <w:lang w:val="kk-KZ"/>
              </w:rPr>
              <w:t xml:space="preserve">Потенциальный поставщик в рамках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конкурсной </w:t>
            </w:r>
            <w:r w:rsidRPr="00642DCF">
              <w:rPr>
                <w:rFonts w:ascii="Times New Roman" w:eastAsia="Calibri" w:hAnsi="Times New Roman" w:cs="Times New Roman"/>
                <w:lang w:val="kk-KZ"/>
              </w:rPr>
              <w:t>заявки должен приложить авторизационное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77042F" w:rsidRPr="00E16EB3" w:rsidTr="00B66E1F">
        <w:tc>
          <w:tcPr>
            <w:tcW w:w="425" w:type="dxa"/>
          </w:tcPr>
          <w:p w:rsidR="0077042F" w:rsidRPr="000C1E15" w:rsidRDefault="000C1E15" w:rsidP="00B66E1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Постав</w:t>
            </w:r>
            <w:r>
              <w:rPr>
                <w:rFonts w:ascii="Times New Roman" w:hAnsi="Times New Roman" w:cs="Times New Roman"/>
              </w:rPr>
              <w:t>щик также должен предусмотреть: установку/</w:t>
            </w:r>
            <w:r w:rsidRPr="0063388F">
              <w:rPr>
                <w:rFonts w:ascii="Times New Roman" w:hAnsi="Times New Roman" w:cs="Times New Roman"/>
              </w:rPr>
              <w:t>диагностику/тестирование, транспортировку всего оборудования.</w:t>
            </w:r>
          </w:p>
        </w:tc>
      </w:tr>
      <w:tr w:rsidR="0077042F" w:rsidRPr="00E16EB3" w:rsidTr="00B66E1F">
        <w:tc>
          <w:tcPr>
            <w:tcW w:w="425" w:type="dxa"/>
          </w:tcPr>
          <w:p w:rsidR="0077042F" w:rsidRPr="000C1E15" w:rsidRDefault="000C1E15" w:rsidP="00B66E1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042F" w:rsidRPr="00E16EB3" w:rsidTr="00B66E1F">
        <w:tc>
          <w:tcPr>
            <w:tcW w:w="425" w:type="dxa"/>
          </w:tcPr>
          <w:p w:rsidR="0077042F" w:rsidRPr="000C1E15" w:rsidRDefault="000C1E15" w:rsidP="00B66E1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:rsidR="0077042F" w:rsidRPr="001E03F7" w:rsidRDefault="0038796A" w:rsidP="00B66E1F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8796A">
              <w:rPr>
                <w:rFonts w:ascii="Times New Roman" w:hAnsi="Times New Roman" w:cs="Times New Roman"/>
                <w:lang w:val="kk-KZ"/>
              </w:rPr>
              <w:t>45 рабочих дней со дня заключения договора</w:t>
            </w:r>
          </w:p>
        </w:tc>
      </w:tr>
      <w:tr w:rsidR="0077042F" w:rsidRPr="00E16EB3" w:rsidTr="00B66E1F">
        <w:tc>
          <w:tcPr>
            <w:tcW w:w="425" w:type="dxa"/>
          </w:tcPr>
          <w:p w:rsidR="0077042F" w:rsidRPr="000C1E15" w:rsidRDefault="000C1E15" w:rsidP="00B66E1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3403" w:type="dxa"/>
          </w:tcPr>
          <w:p w:rsidR="0077042F" w:rsidRPr="00E16EB3" w:rsidRDefault="0077042F" w:rsidP="00B66E1F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:rsidR="0077042F" w:rsidRPr="0063388F" w:rsidRDefault="0077042F" w:rsidP="00B66E1F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-Султан, район "Есиль", ул. Д.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63388F">
              <w:rPr>
                <w:rFonts w:ascii="Times New Roman" w:hAnsi="Times New Roman" w:cs="Times New Roman"/>
              </w:rPr>
              <w:t>, 4.</w:t>
            </w:r>
          </w:p>
        </w:tc>
      </w:tr>
    </w:tbl>
    <w:p w:rsidR="00637300" w:rsidRDefault="000C1E15" w:rsidP="000C1E15">
      <w:pPr>
        <w:spacing w:after="0"/>
        <w:rPr>
          <w:rFonts w:ascii="Times New Roman" w:hAnsi="Times New Roman"/>
          <w:b/>
          <w:sz w:val="24"/>
          <w:szCs w:val="24"/>
        </w:rPr>
      </w:pPr>
      <w:r w:rsidRPr="000C1E15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0C1E15" w:rsidRPr="00B85F6B" w:rsidRDefault="000C1E15" w:rsidP="0080077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0C1E15" w:rsidRPr="000C1E15" w:rsidRDefault="000C1E15" w:rsidP="008007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4778" w:rsidRPr="00AC4778" w:rsidRDefault="00AC4778" w:rsidP="00AC4778">
      <w:pPr>
        <w:ind w:firstLine="720"/>
        <w:rPr>
          <w:rFonts w:ascii="Times New Roman" w:hAnsi="Times New Roman"/>
          <w:sz w:val="28"/>
          <w:szCs w:val="28"/>
        </w:rPr>
      </w:pPr>
    </w:p>
    <w:sectPr w:rsidR="00AC4778" w:rsidRPr="00AC4778" w:rsidSect="0077042F">
      <w:pgSz w:w="11906" w:h="16840"/>
      <w:pgMar w:top="1020" w:right="1276" w:bottom="1020" w:left="1560" w:header="720" w:footer="720" w:gutter="0"/>
      <w:cols w:space="720" w:equalWidth="0">
        <w:col w:w="14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D"/>
    <w:rsid w:val="00003743"/>
    <w:rsid w:val="00081E54"/>
    <w:rsid w:val="00095D6E"/>
    <w:rsid w:val="000C1E15"/>
    <w:rsid w:val="000E3DAF"/>
    <w:rsid w:val="00137D79"/>
    <w:rsid w:val="00142845"/>
    <w:rsid w:val="00175F04"/>
    <w:rsid w:val="00187E7A"/>
    <w:rsid w:val="001C533D"/>
    <w:rsid w:val="001E03F7"/>
    <w:rsid w:val="00201C7F"/>
    <w:rsid w:val="002F3F10"/>
    <w:rsid w:val="00303E17"/>
    <w:rsid w:val="00307D2F"/>
    <w:rsid w:val="003254B7"/>
    <w:rsid w:val="00367BA6"/>
    <w:rsid w:val="00384284"/>
    <w:rsid w:val="0038796A"/>
    <w:rsid w:val="00395E7A"/>
    <w:rsid w:val="003F2E2A"/>
    <w:rsid w:val="003F4EBB"/>
    <w:rsid w:val="00425845"/>
    <w:rsid w:val="00475CFF"/>
    <w:rsid w:val="004C194B"/>
    <w:rsid w:val="004D53FC"/>
    <w:rsid w:val="00505EF2"/>
    <w:rsid w:val="00542420"/>
    <w:rsid w:val="00583C68"/>
    <w:rsid w:val="005D07F6"/>
    <w:rsid w:val="005E5F70"/>
    <w:rsid w:val="00626381"/>
    <w:rsid w:val="00637300"/>
    <w:rsid w:val="00664BD4"/>
    <w:rsid w:val="00675B44"/>
    <w:rsid w:val="00696328"/>
    <w:rsid w:val="006C3BD2"/>
    <w:rsid w:val="006C3CC9"/>
    <w:rsid w:val="006C44D8"/>
    <w:rsid w:val="006D5B48"/>
    <w:rsid w:val="00760E2A"/>
    <w:rsid w:val="0077042F"/>
    <w:rsid w:val="00780A45"/>
    <w:rsid w:val="007C2F00"/>
    <w:rsid w:val="0080077A"/>
    <w:rsid w:val="008232BC"/>
    <w:rsid w:val="00893694"/>
    <w:rsid w:val="008A1B71"/>
    <w:rsid w:val="008B2192"/>
    <w:rsid w:val="00911B6A"/>
    <w:rsid w:val="0092721B"/>
    <w:rsid w:val="0096292E"/>
    <w:rsid w:val="009A1FF5"/>
    <w:rsid w:val="009A443D"/>
    <w:rsid w:val="00A2496F"/>
    <w:rsid w:val="00AA0486"/>
    <w:rsid w:val="00AB4CF1"/>
    <w:rsid w:val="00AB7FF3"/>
    <w:rsid w:val="00AC4778"/>
    <w:rsid w:val="00AC48B1"/>
    <w:rsid w:val="00AF703B"/>
    <w:rsid w:val="00B01FEF"/>
    <w:rsid w:val="00B2044F"/>
    <w:rsid w:val="00B56B74"/>
    <w:rsid w:val="00B57AE9"/>
    <w:rsid w:val="00B84165"/>
    <w:rsid w:val="00B85F6B"/>
    <w:rsid w:val="00B9760B"/>
    <w:rsid w:val="00BA0FFA"/>
    <w:rsid w:val="00BD7BDC"/>
    <w:rsid w:val="00CB4C19"/>
    <w:rsid w:val="00D11F6B"/>
    <w:rsid w:val="00D42E11"/>
    <w:rsid w:val="00D74F83"/>
    <w:rsid w:val="00D94FD2"/>
    <w:rsid w:val="00DD7842"/>
    <w:rsid w:val="00E60F01"/>
    <w:rsid w:val="00E83B83"/>
    <w:rsid w:val="00ED6A97"/>
    <w:rsid w:val="00EF4211"/>
    <w:rsid w:val="00F13C4B"/>
    <w:rsid w:val="00FA7A9D"/>
    <w:rsid w:val="00FC0FDD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CC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7042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7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CC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77042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7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8FB9-AF46-4556-A273-6C1D1D22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asyl</dc:creator>
  <cp:lastModifiedBy>Aimdos Alisher N.</cp:lastModifiedBy>
  <cp:revision>6</cp:revision>
  <dcterms:created xsi:type="dcterms:W3CDTF">2021-06-25T03:52:00Z</dcterms:created>
  <dcterms:modified xsi:type="dcterms:W3CDTF">2021-11-26T10:50:00Z</dcterms:modified>
</cp:coreProperties>
</file>